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37FA4B" w14:textId="59E0D83F" w:rsidR="00C958F9" w:rsidRDefault="00686AE6" w:rsidP="00990DED">
      <w:pPr>
        <w:pStyle w:val="Heading1"/>
        <w:numPr>
          <w:ilvl w:val="0"/>
          <w:numId w:val="14"/>
        </w:numPr>
      </w:pPr>
      <w:r>
        <w:t>Step overview</w:t>
      </w:r>
    </w:p>
    <w:p w14:paraId="3437FA4C" w14:textId="77777777" w:rsidR="00C958F9" w:rsidRDefault="00C958F9">
      <w:pPr>
        <w:rPr>
          <w:color w:val="000000"/>
        </w:rPr>
      </w:pPr>
    </w:p>
    <w:tbl>
      <w:tblPr>
        <w:tblStyle w:val="a8"/>
        <w:tblW w:w="8910" w:type="dxa"/>
        <w:tblBorders>
          <w:top w:val="single" w:sz="6" w:space="0" w:color="000000"/>
          <w:left w:val="single" w:sz="6" w:space="0" w:color="000000"/>
          <w:bottom w:val="single" w:sz="6" w:space="0" w:color="000000"/>
          <w:right w:val="single" w:sz="6" w:space="0" w:color="000000"/>
          <w:insideH w:val="single" w:sz="4" w:space="0" w:color="999999"/>
          <w:insideV w:val="single" w:sz="4" w:space="0" w:color="999999"/>
        </w:tblBorders>
        <w:tblLayout w:type="fixed"/>
        <w:tblLook w:val="0400" w:firstRow="0" w:lastRow="0" w:firstColumn="0" w:lastColumn="0" w:noHBand="0" w:noVBand="1"/>
      </w:tblPr>
      <w:tblGrid>
        <w:gridCol w:w="2115"/>
        <w:gridCol w:w="6795"/>
      </w:tblGrid>
      <w:tr w:rsidR="00C958F9" w14:paraId="3437FA4F" w14:textId="77777777" w:rsidTr="00C958F9">
        <w:trPr>
          <w:trHeight w:val="390"/>
        </w:trPr>
        <w:tc>
          <w:tcPr>
            <w:tcW w:w="2115" w:type="dxa"/>
            <w:shd w:val="clear" w:color="auto" w:fill="0E2841"/>
            <w:tcMar>
              <w:left w:w="105" w:type="dxa"/>
              <w:right w:w="105" w:type="dxa"/>
            </w:tcMar>
          </w:tcPr>
          <w:p w14:paraId="3437FA4D" w14:textId="77777777" w:rsidR="00C958F9" w:rsidRDefault="00686AE6">
            <w:pPr>
              <w:spacing w:before="120" w:after="120"/>
              <w:rPr>
                <w:color w:val="F5F5F5"/>
                <w:sz w:val="20"/>
                <w:szCs w:val="20"/>
              </w:rPr>
            </w:pPr>
            <w:r>
              <w:rPr>
                <w:b/>
                <w:bCs/>
                <w:color w:val="FFFFFF"/>
                <w:sz w:val="20"/>
                <w:szCs w:val="20"/>
              </w:rPr>
              <w:t>Sub-area</w:t>
            </w:r>
          </w:p>
        </w:tc>
        <w:tc>
          <w:tcPr>
            <w:tcW w:w="6795" w:type="dxa"/>
            <w:shd w:val="clear" w:color="auto" w:fill="DAE9F7"/>
            <w:tcMar>
              <w:left w:w="105" w:type="dxa"/>
              <w:right w:w="105" w:type="dxa"/>
            </w:tcMar>
          </w:tcPr>
          <w:p w14:paraId="3437FA4E" w14:textId="77777777" w:rsidR="00C958F9" w:rsidRDefault="00686AE6">
            <w:pPr>
              <w:spacing w:before="120" w:after="120"/>
              <w:rPr>
                <w:color w:val="000000"/>
                <w:sz w:val="20"/>
                <w:szCs w:val="20"/>
              </w:rPr>
            </w:pPr>
            <w:r>
              <w:rPr>
                <w:color w:val="000000"/>
                <w:sz w:val="20"/>
                <w:szCs w:val="20"/>
              </w:rPr>
              <w:t xml:space="preserve">7.2. Digitalisation </w:t>
            </w:r>
          </w:p>
        </w:tc>
      </w:tr>
      <w:tr w:rsidR="00C958F9" w14:paraId="3437FA52" w14:textId="77777777" w:rsidTr="00C958F9">
        <w:trPr>
          <w:trHeight w:val="390"/>
        </w:trPr>
        <w:tc>
          <w:tcPr>
            <w:tcW w:w="2115" w:type="dxa"/>
            <w:shd w:val="clear" w:color="auto" w:fill="0E2841"/>
            <w:tcMar>
              <w:left w:w="105" w:type="dxa"/>
              <w:right w:w="105" w:type="dxa"/>
            </w:tcMar>
          </w:tcPr>
          <w:p w14:paraId="3437FA50" w14:textId="77777777" w:rsidR="00C958F9" w:rsidRDefault="00686AE6">
            <w:pPr>
              <w:spacing w:before="120" w:after="120"/>
              <w:rPr>
                <w:color w:val="F5F5F5"/>
                <w:sz w:val="20"/>
                <w:szCs w:val="20"/>
              </w:rPr>
            </w:pPr>
            <w:r>
              <w:rPr>
                <w:b/>
                <w:bCs/>
                <w:color w:val="FFFFFF"/>
                <w:sz w:val="20"/>
                <w:szCs w:val="20"/>
              </w:rPr>
              <w:t>Reform</w:t>
            </w:r>
          </w:p>
        </w:tc>
        <w:tc>
          <w:tcPr>
            <w:tcW w:w="6795" w:type="dxa"/>
            <w:shd w:val="clear" w:color="auto" w:fill="DAE9F7"/>
            <w:tcMar>
              <w:left w:w="105" w:type="dxa"/>
              <w:right w:w="105" w:type="dxa"/>
            </w:tcMar>
          </w:tcPr>
          <w:p w14:paraId="3590E194" w14:textId="77777777" w:rsidR="00990DED" w:rsidRPr="00990DED" w:rsidRDefault="00990DED" w:rsidP="00990DED">
            <w:pPr>
              <w:spacing w:before="120" w:after="120"/>
              <w:rPr>
                <w:color w:val="000000"/>
                <w:sz w:val="20"/>
                <w:szCs w:val="20"/>
              </w:rPr>
            </w:pPr>
            <w:r w:rsidRPr="00990DED">
              <w:rPr>
                <w:color w:val="000000"/>
                <w:sz w:val="20"/>
                <w:szCs w:val="20"/>
              </w:rPr>
              <w:t xml:space="preserve">7.2.4. </w:t>
            </w:r>
            <w:proofErr w:type="gramStart"/>
            <w:r w:rsidRPr="00990DED">
              <w:rPr>
                <w:color w:val="000000"/>
                <w:sz w:val="20"/>
                <w:szCs w:val="20"/>
              </w:rPr>
              <w:t>Setting-up</w:t>
            </w:r>
            <w:proofErr w:type="gramEnd"/>
            <w:r w:rsidRPr="00990DED">
              <w:rPr>
                <w:color w:val="000000"/>
                <w:sz w:val="20"/>
                <w:szCs w:val="20"/>
              </w:rPr>
              <w:t xml:space="preserve"> a comprehensive framework for cyber resilience and artificial intelligence</w:t>
            </w:r>
          </w:p>
          <w:p w14:paraId="3437FA51" w14:textId="122AC3EF" w:rsidR="00C958F9" w:rsidRDefault="00990DED" w:rsidP="00990DED">
            <w:pPr>
              <w:spacing w:before="120" w:after="120"/>
              <w:rPr>
                <w:color w:val="000000"/>
                <w:sz w:val="20"/>
                <w:szCs w:val="20"/>
              </w:rPr>
            </w:pPr>
            <w:r w:rsidRPr="00990DED">
              <w:rPr>
                <w:color w:val="000000"/>
                <w:sz w:val="20"/>
                <w:szCs w:val="20"/>
              </w:rPr>
              <w:t>Part 1: Improving the legal framework for cybersecurity (introducing requirements of NIS2 Directive and strengthening relevant institutions)</w:t>
            </w:r>
          </w:p>
        </w:tc>
      </w:tr>
      <w:tr w:rsidR="00C958F9" w14:paraId="3437FA55" w14:textId="77777777" w:rsidTr="00C958F9">
        <w:trPr>
          <w:trHeight w:val="390"/>
        </w:trPr>
        <w:tc>
          <w:tcPr>
            <w:tcW w:w="2115" w:type="dxa"/>
            <w:shd w:val="clear" w:color="auto" w:fill="0E2841"/>
            <w:tcMar>
              <w:left w:w="105" w:type="dxa"/>
              <w:right w:w="105" w:type="dxa"/>
            </w:tcMar>
          </w:tcPr>
          <w:p w14:paraId="3437FA53" w14:textId="77777777" w:rsidR="00C958F9" w:rsidRDefault="00686AE6">
            <w:pPr>
              <w:spacing w:before="120" w:after="120"/>
              <w:rPr>
                <w:color w:val="F5F5F5"/>
                <w:sz w:val="20"/>
                <w:szCs w:val="20"/>
              </w:rPr>
            </w:pPr>
            <w:r>
              <w:rPr>
                <w:b/>
                <w:bCs/>
                <w:color w:val="FFFFFF"/>
                <w:sz w:val="20"/>
                <w:szCs w:val="20"/>
              </w:rPr>
              <w:t>Reporting indicator</w:t>
            </w:r>
          </w:p>
        </w:tc>
        <w:tc>
          <w:tcPr>
            <w:tcW w:w="6795" w:type="dxa"/>
            <w:shd w:val="clear" w:color="auto" w:fill="DAE9F7"/>
            <w:tcMar>
              <w:left w:w="105" w:type="dxa"/>
              <w:right w:w="105" w:type="dxa"/>
            </w:tcMar>
          </w:tcPr>
          <w:p w14:paraId="3437FA54" w14:textId="77777777" w:rsidR="00C958F9" w:rsidRDefault="00686AE6">
            <w:pPr>
              <w:spacing w:before="120" w:after="120"/>
              <w:rPr>
                <w:color w:val="000000"/>
                <w:sz w:val="20"/>
                <w:szCs w:val="20"/>
              </w:rPr>
            </w:pPr>
            <w:r>
              <w:rPr>
                <w:color w:val="000000"/>
                <w:sz w:val="20"/>
                <w:szCs w:val="20"/>
              </w:rPr>
              <w:t>Status of adoption of the Law</w:t>
            </w:r>
          </w:p>
        </w:tc>
      </w:tr>
      <w:tr w:rsidR="00C958F9" w14:paraId="3437FA58" w14:textId="77777777" w:rsidTr="00C958F9">
        <w:trPr>
          <w:trHeight w:val="750"/>
        </w:trPr>
        <w:tc>
          <w:tcPr>
            <w:tcW w:w="2115" w:type="dxa"/>
            <w:shd w:val="clear" w:color="auto" w:fill="0E2841"/>
            <w:tcMar>
              <w:left w:w="105" w:type="dxa"/>
              <w:right w:w="105" w:type="dxa"/>
            </w:tcMar>
          </w:tcPr>
          <w:p w14:paraId="3437FA56" w14:textId="77777777" w:rsidR="00C958F9" w:rsidRDefault="00686AE6">
            <w:pPr>
              <w:spacing w:before="120" w:after="120"/>
              <w:rPr>
                <w:color w:val="F5F5F5"/>
                <w:sz w:val="20"/>
                <w:szCs w:val="20"/>
              </w:rPr>
            </w:pPr>
            <w:r>
              <w:rPr>
                <w:b/>
                <w:bCs/>
                <w:color w:val="FFFFFF"/>
                <w:sz w:val="20"/>
                <w:szCs w:val="20"/>
              </w:rPr>
              <w:t>Reform Step</w:t>
            </w:r>
          </w:p>
        </w:tc>
        <w:tc>
          <w:tcPr>
            <w:tcW w:w="6795" w:type="dxa"/>
            <w:tcMar>
              <w:left w:w="105" w:type="dxa"/>
              <w:right w:w="105" w:type="dxa"/>
            </w:tcMar>
          </w:tcPr>
          <w:p w14:paraId="3437FA57" w14:textId="0DD6BB7C" w:rsidR="00C958F9" w:rsidRPr="00990DED" w:rsidRDefault="00686AE6" w:rsidP="00990DED">
            <w:pPr>
              <w:pStyle w:val="ListParagraph"/>
              <w:numPr>
                <w:ilvl w:val="3"/>
                <w:numId w:val="4"/>
              </w:numPr>
              <w:spacing w:before="120" w:after="120"/>
              <w:ind w:left="332"/>
              <w:rPr>
                <w:color w:val="000000"/>
                <w:sz w:val="20"/>
                <w:szCs w:val="20"/>
              </w:rPr>
            </w:pPr>
            <w:r w:rsidRPr="00990DED">
              <w:rPr>
                <w:color w:val="000000"/>
                <w:sz w:val="20"/>
                <w:szCs w:val="20"/>
              </w:rPr>
              <w:t>The Law on Information Security is adopted by Parliament and fully aligned with the NIS2 Directive</w:t>
            </w:r>
          </w:p>
        </w:tc>
      </w:tr>
      <w:tr w:rsidR="00C958F9" w14:paraId="3437FA5B" w14:textId="77777777" w:rsidTr="00C958F9">
        <w:trPr>
          <w:trHeight w:val="555"/>
        </w:trPr>
        <w:tc>
          <w:tcPr>
            <w:tcW w:w="2115" w:type="dxa"/>
            <w:shd w:val="clear" w:color="auto" w:fill="0E2841"/>
            <w:tcMar>
              <w:left w:w="105" w:type="dxa"/>
              <w:right w:w="105" w:type="dxa"/>
            </w:tcMar>
          </w:tcPr>
          <w:p w14:paraId="3437FA59" w14:textId="77777777" w:rsidR="00C958F9" w:rsidRDefault="00686AE6">
            <w:pPr>
              <w:spacing w:before="120" w:after="120"/>
              <w:rPr>
                <w:color w:val="F5F5F5"/>
                <w:sz w:val="20"/>
                <w:szCs w:val="20"/>
              </w:rPr>
            </w:pPr>
            <w:r>
              <w:rPr>
                <w:b/>
                <w:bCs/>
                <w:color w:val="FFFFFF"/>
                <w:sz w:val="20"/>
                <w:szCs w:val="20"/>
              </w:rPr>
              <w:t>Step deadline</w:t>
            </w:r>
          </w:p>
        </w:tc>
        <w:tc>
          <w:tcPr>
            <w:tcW w:w="6795" w:type="dxa"/>
            <w:tcMar>
              <w:left w:w="105" w:type="dxa"/>
              <w:right w:w="105" w:type="dxa"/>
            </w:tcMar>
          </w:tcPr>
          <w:p w14:paraId="3437FA5A" w14:textId="77777777" w:rsidR="00C958F9" w:rsidRDefault="00686AE6">
            <w:pPr>
              <w:spacing w:before="120" w:after="120"/>
              <w:rPr>
                <w:color w:val="000000"/>
                <w:sz w:val="20"/>
                <w:szCs w:val="20"/>
              </w:rPr>
            </w:pPr>
            <w:r>
              <w:rPr>
                <w:color w:val="000000"/>
                <w:sz w:val="20"/>
                <w:szCs w:val="20"/>
              </w:rPr>
              <w:t>December 2025</w:t>
            </w:r>
          </w:p>
        </w:tc>
      </w:tr>
      <w:tr w:rsidR="00C958F9" w14:paraId="3437FA5E" w14:textId="77777777" w:rsidTr="00C958F9">
        <w:trPr>
          <w:trHeight w:val="540"/>
        </w:trPr>
        <w:tc>
          <w:tcPr>
            <w:tcW w:w="2115" w:type="dxa"/>
            <w:shd w:val="clear" w:color="auto" w:fill="0E2841"/>
            <w:tcMar>
              <w:left w:w="105" w:type="dxa"/>
              <w:right w:w="105" w:type="dxa"/>
            </w:tcMar>
          </w:tcPr>
          <w:p w14:paraId="3437FA5C" w14:textId="77777777" w:rsidR="00C958F9" w:rsidRDefault="00686AE6">
            <w:pPr>
              <w:spacing w:before="120" w:after="120"/>
              <w:rPr>
                <w:color w:val="F5F5F5"/>
                <w:sz w:val="20"/>
                <w:szCs w:val="20"/>
              </w:rPr>
            </w:pPr>
            <w:r>
              <w:rPr>
                <w:b/>
                <w:bCs/>
                <w:color w:val="FFFFFF"/>
                <w:sz w:val="20"/>
                <w:szCs w:val="20"/>
              </w:rPr>
              <w:t>Step value in EUR</w:t>
            </w:r>
          </w:p>
        </w:tc>
        <w:tc>
          <w:tcPr>
            <w:tcW w:w="6795" w:type="dxa"/>
            <w:tcMar>
              <w:left w:w="105" w:type="dxa"/>
              <w:right w:w="105" w:type="dxa"/>
            </w:tcMar>
          </w:tcPr>
          <w:p w14:paraId="3437FA5D" w14:textId="77777777" w:rsidR="00C958F9" w:rsidRDefault="00686AE6">
            <w:pPr>
              <w:spacing w:before="120" w:after="120"/>
              <w:rPr>
                <w:color w:val="000000"/>
                <w:sz w:val="20"/>
                <w:szCs w:val="20"/>
              </w:rPr>
            </w:pPr>
            <w:r>
              <w:rPr>
                <w:color w:val="000000"/>
                <w:sz w:val="20"/>
                <w:szCs w:val="20"/>
              </w:rPr>
              <w:t>13.587.623,37</w:t>
            </w:r>
          </w:p>
        </w:tc>
      </w:tr>
      <w:tr w:rsidR="00C958F9" w14:paraId="3437FA61" w14:textId="77777777" w:rsidTr="00C958F9">
        <w:trPr>
          <w:trHeight w:val="525"/>
        </w:trPr>
        <w:tc>
          <w:tcPr>
            <w:tcW w:w="2115" w:type="dxa"/>
            <w:shd w:val="clear" w:color="auto" w:fill="0E2841"/>
            <w:tcMar>
              <w:left w:w="105" w:type="dxa"/>
              <w:right w:w="105" w:type="dxa"/>
            </w:tcMar>
          </w:tcPr>
          <w:p w14:paraId="3437FA5F" w14:textId="77777777" w:rsidR="00C958F9" w:rsidRDefault="00686AE6">
            <w:pPr>
              <w:spacing w:before="120" w:after="120"/>
              <w:rPr>
                <w:color w:val="F5F5F5"/>
                <w:sz w:val="20"/>
                <w:szCs w:val="20"/>
              </w:rPr>
            </w:pPr>
            <w:r>
              <w:rPr>
                <w:b/>
                <w:bCs/>
                <w:color w:val="FFFFFF"/>
                <w:sz w:val="20"/>
                <w:szCs w:val="20"/>
              </w:rPr>
              <w:t>Responsible</w:t>
            </w:r>
          </w:p>
        </w:tc>
        <w:tc>
          <w:tcPr>
            <w:tcW w:w="6795" w:type="dxa"/>
            <w:tcMar>
              <w:left w:w="105" w:type="dxa"/>
              <w:right w:w="105" w:type="dxa"/>
            </w:tcMar>
          </w:tcPr>
          <w:p w14:paraId="3437FA60" w14:textId="77777777" w:rsidR="00C958F9" w:rsidRDefault="00686AE6">
            <w:pPr>
              <w:spacing w:before="120" w:after="120"/>
              <w:rPr>
                <w:color w:val="000000"/>
                <w:sz w:val="20"/>
                <w:szCs w:val="20"/>
              </w:rPr>
            </w:pPr>
            <w:r>
              <w:rPr>
                <w:color w:val="000000"/>
                <w:sz w:val="20"/>
                <w:szCs w:val="20"/>
              </w:rPr>
              <w:t>Ministry of Information and Telecommunications</w:t>
            </w:r>
          </w:p>
        </w:tc>
      </w:tr>
      <w:tr w:rsidR="00C958F9" w14:paraId="3437FA64" w14:textId="77777777" w:rsidTr="00C958F9">
        <w:trPr>
          <w:trHeight w:val="570"/>
        </w:trPr>
        <w:tc>
          <w:tcPr>
            <w:tcW w:w="2115" w:type="dxa"/>
            <w:shd w:val="clear" w:color="auto" w:fill="0E2841"/>
            <w:tcMar>
              <w:left w:w="105" w:type="dxa"/>
              <w:right w:w="105" w:type="dxa"/>
            </w:tcMar>
          </w:tcPr>
          <w:p w14:paraId="3437FA62" w14:textId="77777777" w:rsidR="00C958F9" w:rsidRDefault="00686AE6">
            <w:pPr>
              <w:spacing w:before="120" w:after="120"/>
              <w:rPr>
                <w:color w:val="F5F5F5"/>
                <w:sz w:val="20"/>
                <w:szCs w:val="20"/>
              </w:rPr>
            </w:pPr>
            <w:r>
              <w:rPr>
                <w:b/>
                <w:bCs/>
                <w:color w:val="FFFFFF"/>
                <w:sz w:val="20"/>
                <w:szCs w:val="20"/>
              </w:rPr>
              <w:t>Baseline</w:t>
            </w:r>
          </w:p>
        </w:tc>
        <w:tc>
          <w:tcPr>
            <w:tcW w:w="6795" w:type="dxa"/>
            <w:tcMar>
              <w:left w:w="105" w:type="dxa"/>
              <w:right w:w="105" w:type="dxa"/>
            </w:tcMar>
          </w:tcPr>
          <w:p w14:paraId="3437FA63" w14:textId="77777777" w:rsidR="00C958F9" w:rsidRDefault="00686AE6">
            <w:pPr>
              <w:spacing w:before="120" w:after="120"/>
              <w:rPr>
                <w:color w:val="000000"/>
                <w:sz w:val="20"/>
                <w:szCs w:val="20"/>
              </w:rPr>
            </w:pPr>
            <w:r>
              <w:rPr>
                <w:color w:val="000000"/>
                <w:sz w:val="20"/>
                <w:szCs w:val="20"/>
              </w:rPr>
              <w:t>Law on Information Security not aligned with NIS2</w:t>
            </w:r>
          </w:p>
        </w:tc>
      </w:tr>
      <w:tr w:rsidR="00C958F9" w14:paraId="3437FA69" w14:textId="77777777" w:rsidTr="00C958F9">
        <w:trPr>
          <w:trHeight w:val="570"/>
        </w:trPr>
        <w:tc>
          <w:tcPr>
            <w:tcW w:w="2115" w:type="dxa"/>
            <w:shd w:val="clear" w:color="auto" w:fill="0E2841"/>
            <w:tcMar>
              <w:left w:w="105" w:type="dxa"/>
              <w:right w:w="105" w:type="dxa"/>
            </w:tcMar>
          </w:tcPr>
          <w:p w14:paraId="3437FA65" w14:textId="77777777" w:rsidR="00C958F9" w:rsidRDefault="00686AE6">
            <w:pPr>
              <w:spacing w:before="120" w:after="120"/>
              <w:rPr>
                <w:color w:val="F5F5F5"/>
                <w:sz w:val="20"/>
                <w:szCs w:val="20"/>
              </w:rPr>
            </w:pPr>
            <w:r>
              <w:rPr>
                <w:b/>
                <w:bCs/>
                <w:color w:val="FFFFFF"/>
                <w:sz w:val="20"/>
                <w:szCs w:val="20"/>
              </w:rPr>
              <w:t>Sources of verification</w:t>
            </w:r>
          </w:p>
        </w:tc>
        <w:tc>
          <w:tcPr>
            <w:tcW w:w="6795" w:type="dxa"/>
            <w:tcMar>
              <w:left w:w="105" w:type="dxa"/>
              <w:right w:w="105" w:type="dxa"/>
            </w:tcMar>
          </w:tcPr>
          <w:p w14:paraId="3437FA66" w14:textId="77777777" w:rsidR="00C958F9" w:rsidRDefault="00686AE6">
            <w:pPr>
              <w:spacing w:before="120" w:after="120"/>
              <w:rPr>
                <w:color w:val="000000"/>
                <w:sz w:val="20"/>
                <w:szCs w:val="20"/>
              </w:rPr>
            </w:pPr>
            <w:r>
              <w:rPr>
                <w:color w:val="000000"/>
                <w:sz w:val="20"/>
                <w:szCs w:val="20"/>
              </w:rPr>
              <w:t xml:space="preserve">Official </w:t>
            </w:r>
            <w:proofErr w:type="spellStart"/>
            <w:r>
              <w:rPr>
                <w:color w:val="000000"/>
                <w:sz w:val="20"/>
                <w:szCs w:val="20"/>
              </w:rPr>
              <w:t>Gazzete</w:t>
            </w:r>
            <w:proofErr w:type="spellEnd"/>
            <w:r>
              <w:rPr>
                <w:color w:val="000000"/>
                <w:sz w:val="20"/>
                <w:szCs w:val="20"/>
              </w:rPr>
              <w:t xml:space="preserve"> of Republic of Serbia (or</w:t>
            </w:r>
          </w:p>
          <w:p w14:paraId="3437FA67" w14:textId="77777777" w:rsidR="00C958F9" w:rsidRDefault="00686AE6">
            <w:pPr>
              <w:spacing w:before="120" w:after="120"/>
              <w:rPr>
                <w:color w:val="000000"/>
                <w:sz w:val="20"/>
                <w:szCs w:val="20"/>
              </w:rPr>
            </w:pPr>
            <w:r>
              <w:rPr>
                <w:color w:val="000000"/>
                <w:sz w:val="20"/>
                <w:szCs w:val="20"/>
              </w:rPr>
              <w:t>report of Ministry of Information and</w:t>
            </w:r>
          </w:p>
          <w:p w14:paraId="3437FA68" w14:textId="77777777" w:rsidR="00C958F9" w:rsidRDefault="00686AE6">
            <w:pPr>
              <w:spacing w:before="120" w:after="120"/>
              <w:rPr>
                <w:color w:val="000000"/>
                <w:sz w:val="20"/>
                <w:szCs w:val="20"/>
              </w:rPr>
            </w:pPr>
            <w:r>
              <w:rPr>
                <w:color w:val="000000"/>
                <w:sz w:val="20"/>
                <w:szCs w:val="20"/>
              </w:rPr>
              <w:t>Telecommunications)</w:t>
            </w:r>
          </w:p>
        </w:tc>
      </w:tr>
    </w:tbl>
    <w:p w14:paraId="3437FA6A" w14:textId="77777777" w:rsidR="00C958F9" w:rsidRDefault="00C958F9">
      <w:pPr>
        <w:rPr>
          <w:color w:val="000000"/>
        </w:rPr>
      </w:pPr>
    </w:p>
    <w:p w14:paraId="3437FA6B" w14:textId="77777777" w:rsidR="00C958F9" w:rsidRDefault="00686AE6">
      <w:pPr>
        <w:pStyle w:val="Heading1"/>
        <w:numPr>
          <w:ilvl w:val="0"/>
          <w:numId w:val="4"/>
        </w:numPr>
      </w:pPr>
      <w:r>
        <w:t>Analysis</w:t>
      </w:r>
    </w:p>
    <w:p w14:paraId="3437FA6C" w14:textId="77777777" w:rsidR="00C958F9" w:rsidRDefault="00C958F9">
      <w:pPr>
        <w:rPr>
          <w:color w:val="000000"/>
        </w:rPr>
      </w:pPr>
    </w:p>
    <w:tbl>
      <w:tblPr>
        <w:tblStyle w:val="a9"/>
        <w:tblW w:w="9344" w:type="dxa"/>
        <w:tblBorders>
          <w:top w:val="single" w:sz="6" w:space="0" w:color="000000"/>
          <w:left w:val="single" w:sz="6" w:space="0" w:color="000000"/>
          <w:bottom w:val="single" w:sz="6" w:space="0" w:color="000000"/>
          <w:right w:val="single" w:sz="6" w:space="0" w:color="000000"/>
          <w:insideH w:val="single" w:sz="4" w:space="0" w:color="999999"/>
          <w:insideV w:val="single" w:sz="4" w:space="0" w:color="999999"/>
        </w:tblBorders>
        <w:tblLayout w:type="fixed"/>
        <w:tblLook w:val="0480" w:firstRow="0" w:lastRow="0" w:firstColumn="1" w:lastColumn="0" w:noHBand="0" w:noVBand="1"/>
      </w:tblPr>
      <w:tblGrid>
        <w:gridCol w:w="1632"/>
        <w:gridCol w:w="7712"/>
      </w:tblGrid>
      <w:tr w:rsidR="00C958F9" w14:paraId="3437FA77" w14:textId="77777777" w:rsidTr="00C958F9">
        <w:trPr>
          <w:trHeight w:val="300"/>
        </w:trPr>
        <w:tc>
          <w:tcPr>
            <w:cnfStyle w:val="001000000000" w:firstRow="0" w:lastRow="0" w:firstColumn="1" w:lastColumn="0" w:oddVBand="0" w:evenVBand="0" w:oddHBand="0" w:evenHBand="0" w:firstRowFirstColumn="0" w:firstRowLastColumn="0" w:lastRowFirstColumn="0" w:lastRowLastColumn="0"/>
            <w:tcW w:w="1632" w:type="dxa"/>
            <w:shd w:val="clear" w:color="auto" w:fill="0E2841"/>
            <w:tcMar>
              <w:left w:w="105" w:type="dxa"/>
              <w:right w:w="105" w:type="dxa"/>
            </w:tcMar>
          </w:tcPr>
          <w:p w14:paraId="3437FA6D" w14:textId="77777777" w:rsidR="00C958F9" w:rsidRDefault="00686AE6">
            <w:pPr>
              <w:spacing w:before="120" w:after="120"/>
              <w:rPr>
                <w:color w:val="F5F5F5"/>
                <w:sz w:val="20"/>
                <w:szCs w:val="20"/>
              </w:rPr>
            </w:pPr>
            <w:r>
              <w:rPr>
                <w:color w:val="FFFFFF"/>
                <w:sz w:val="20"/>
                <w:szCs w:val="20"/>
              </w:rPr>
              <w:t>Define step milestones</w:t>
            </w:r>
          </w:p>
        </w:tc>
        <w:tc>
          <w:tcPr>
            <w:tcW w:w="7712" w:type="dxa"/>
            <w:tcMar>
              <w:left w:w="105" w:type="dxa"/>
              <w:right w:w="105" w:type="dxa"/>
            </w:tcMar>
          </w:tcPr>
          <w:p w14:paraId="3437FA6E" w14:textId="77777777" w:rsidR="00C958F9" w:rsidRDefault="00686AE6">
            <w:pPr>
              <w:spacing w:before="120" w:after="120"/>
              <w:cnfStyle w:val="000000000000" w:firstRow="0" w:lastRow="0" w:firstColumn="0" w:lastColumn="0" w:oddVBand="0" w:evenVBand="0" w:oddHBand="0" w:evenHBand="0" w:firstRowFirstColumn="0" w:firstRowLastColumn="0" w:lastRowFirstColumn="0" w:lastRowLastColumn="0"/>
              <w:rPr>
                <w:sz w:val="20"/>
                <w:szCs w:val="20"/>
              </w:rPr>
            </w:pPr>
            <w:r>
              <w:rPr>
                <w:i/>
                <w:iCs/>
                <w:sz w:val="20"/>
                <w:szCs w:val="20"/>
              </w:rPr>
              <w:t xml:space="preserve">For each step, based on the provisions of the Reform Agenda, define several key milestones for full achievement and number them. E.g. for a legislative step, that can include: 1. Announcement of the work on the new law, 2. Setting up a working group, 3. Initial consultation (via eConsultation portal), 4. Publication of all key materials on eConsultation portal (draft law, RIA, consultation report), 5. Public debate in accordance with the Rules of Procedure of the Government, 6. Adoption in Parliament (with analysis of the adoption procedure). Depending on the reform step, make sure that milestones </w:t>
            </w:r>
            <w:proofErr w:type="gramStart"/>
            <w:r>
              <w:rPr>
                <w:i/>
                <w:iCs/>
                <w:sz w:val="20"/>
                <w:szCs w:val="20"/>
              </w:rPr>
              <w:t>take into account</w:t>
            </w:r>
            <w:proofErr w:type="gramEnd"/>
            <w:r>
              <w:rPr>
                <w:i/>
                <w:iCs/>
                <w:sz w:val="20"/>
                <w:szCs w:val="20"/>
              </w:rPr>
              <w:t xml:space="preserve"> applicable legal requirements (e.g. Law on the Planning System, Government Rules of Procedure, etc.).</w:t>
            </w:r>
          </w:p>
          <w:p w14:paraId="3437FA6F" w14:textId="77777777" w:rsidR="00C958F9" w:rsidRDefault="00686AE6">
            <w:pPr>
              <w:numPr>
                <w:ilvl w:val="0"/>
                <w:numId w:val="3"/>
              </w:numPr>
              <w:pBdr>
                <w:top w:val="nil"/>
                <w:left w:val="nil"/>
                <w:bottom w:val="nil"/>
                <w:right w:val="nil"/>
                <w:between w:val="nil"/>
              </w:pBdr>
              <w:spacing w:before="120"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Announcement of the work of the new </w:t>
            </w:r>
            <w:proofErr w:type="gramStart"/>
            <w:r>
              <w:rPr>
                <w:color w:val="000000"/>
                <w:sz w:val="20"/>
                <w:szCs w:val="20"/>
              </w:rPr>
              <w:t>law;</w:t>
            </w:r>
            <w:proofErr w:type="gramEnd"/>
          </w:p>
          <w:p w14:paraId="3437FA70" w14:textId="77777777" w:rsidR="00C958F9" w:rsidRDefault="00686AE6">
            <w:pPr>
              <w:numPr>
                <w:ilvl w:val="0"/>
                <w:numId w:val="3"/>
              </w:numPr>
              <w:pBdr>
                <w:top w:val="nil"/>
                <w:left w:val="nil"/>
                <w:bottom w:val="nil"/>
                <w:right w:val="nil"/>
                <w:between w:val="nil"/>
              </w:pBdr>
              <w:spacing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Setting up a working </w:t>
            </w:r>
            <w:proofErr w:type="gramStart"/>
            <w:r>
              <w:rPr>
                <w:color w:val="000000"/>
                <w:sz w:val="20"/>
                <w:szCs w:val="20"/>
              </w:rPr>
              <w:t>group;</w:t>
            </w:r>
            <w:proofErr w:type="gramEnd"/>
          </w:p>
          <w:p w14:paraId="3437FA71" w14:textId="77777777" w:rsidR="00C958F9" w:rsidRDefault="00686AE6">
            <w:pPr>
              <w:numPr>
                <w:ilvl w:val="0"/>
                <w:numId w:val="3"/>
              </w:numPr>
              <w:pBdr>
                <w:top w:val="nil"/>
                <w:left w:val="nil"/>
                <w:bottom w:val="nil"/>
                <w:right w:val="nil"/>
                <w:between w:val="nil"/>
              </w:pBdr>
              <w:spacing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lastRenderedPageBreak/>
              <w:t>Initial consultation (via eConsultation portal</w:t>
            </w:r>
            <w:proofErr w:type="gramStart"/>
            <w:r>
              <w:rPr>
                <w:color w:val="000000"/>
                <w:sz w:val="20"/>
                <w:szCs w:val="20"/>
              </w:rPr>
              <w:t>);</w:t>
            </w:r>
            <w:proofErr w:type="gramEnd"/>
          </w:p>
          <w:p w14:paraId="3437FA72" w14:textId="77777777" w:rsidR="00C958F9" w:rsidRDefault="00686AE6">
            <w:pPr>
              <w:numPr>
                <w:ilvl w:val="0"/>
                <w:numId w:val="3"/>
              </w:numPr>
              <w:pBdr>
                <w:top w:val="nil"/>
                <w:left w:val="nil"/>
                <w:bottom w:val="nil"/>
                <w:right w:val="nil"/>
                <w:between w:val="nil"/>
              </w:pBdr>
              <w:spacing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Publication of all key materials on eConsultation portal (draft law, RIA, consultation report</w:t>
            </w:r>
            <w:proofErr w:type="gramStart"/>
            <w:r>
              <w:rPr>
                <w:color w:val="000000"/>
                <w:sz w:val="20"/>
                <w:szCs w:val="20"/>
              </w:rPr>
              <w:t>);</w:t>
            </w:r>
            <w:proofErr w:type="gramEnd"/>
          </w:p>
          <w:p w14:paraId="3437FA73" w14:textId="77777777" w:rsidR="00C958F9" w:rsidRDefault="00686AE6">
            <w:pPr>
              <w:numPr>
                <w:ilvl w:val="0"/>
                <w:numId w:val="3"/>
              </w:numPr>
              <w:pBdr>
                <w:top w:val="nil"/>
                <w:left w:val="nil"/>
                <w:bottom w:val="nil"/>
                <w:right w:val="nil"/>
                <w:between w:val="nil"/>
              </w:pBdr>
              <w:spacing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Public debate in accordance with the Rules of Procedure of the Government</w:t>
            </w:r>
            <w:proofErr w:type="gramStart"/>
            <w:r>
              <w:rPr>
                <w:color w:val="000000"/>
                <w:sz w:val="20"/>
                <w:szCs w:val="20"/>
              </w:rPr>
              <w:t>);</w:t>
            </w:r>
            <w:proofErr w:type="gramEnd"/>
          </w:p>
          <w:p w14:paraId="3437FA74" w14:textId="77777777" w:rsidR="00C958F9" w:rsidRDefault="00686AE6">
            <w:pPr>
              <w:numPr>
                <w:ilvl w:val="0"/>
                <w:numId w:val="3"/>
              </w:numPr>
              <w:pBdr>
                <w:top w:val="nil"/>
                <w:left w:val="nil"/>
                <w:bottom w:val="nil"/>
                <w:right w:val="nil"/>
                <w:between w:val="nil"/>
              </w:pBdr>
              <w:spacing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Adoption in Parliament (with analysis of the adoption procedure</w:t>
            </w:r>
            <w:proofErr w:type="gramStart"/>
            <w:r>
              <w:rPr>
                <w:color w:val="000000"/>
                <w:sz w:val="20"/>
                <w:szCs w:val="20"/>
              </w:rPr>
              <w:t>);</w:t>
            </w:r>
            <w:proofErr w:type="gramEnd"/>
          </w:p>
          <w:p w14:paraId="3437FA76" w14:textId="7ECB523A" w:rsidR="00C958F9" w:rsidRPr="008C37E3" w:rsidRDefault="00686AE6" w:rsidP="008C37E3">
            <w:pPr>
              <w:numPr>
                <w:ilvl w:val="0"/>
                <w:numId w:val="3"/>
              </w:numPr>
              <w:pBdr>
                <w:top w:val="nil"/>
                <w:left w:val="nil"/>
                <w:bottom w:val="nil"/>
                <w:right w:val="nil"/>
                <w:between w:val="nil"/>
              </w:pBdr>
              <w:spacing w:after="120"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Full alignment with the NIS2 Directive co</w:t>
            </w:r>
            <w:r>
              <w:rPr>
                <w:sz w:val="20"/>
                <w:szCs w:val="20"/>
              </w:rPr>
              <w:t>nfirmed</w:t>
            </w:r>
            <w:r>
              <w:rPr>
                <w:color w:val="000000"/>
                <w:sz w:val="20"/>
                <w:szCs w:val="20"/>
              </w:rPr>
              <w:t>.</w:t>
            </w:r>
          </w:p>
        </w:tc>
      </w:tr>
      <w:tr w:rsidR="00C958F9" w14:paraId="3437FA81" w14:textId="77777777" w:rsidTr="00C958F9">
        <w:trPr>
          <w:trHeight w:val="300"/>
        </w:trPr>
        <w:tc>
          <w:tcPr>
            <w:cnfStyle w:val="001000000000" w:firstRow="0" w:lastRow="0" w:firstColumn="1" w:lastColumn="0" w:oddVBand="0" w:evenVBand="0" w:oddHBand="0" w:evenHBand="0" w:firstRowFirstColumn="0" w:firstRowLastColumn="0" w:lastRowFirstColumn="0" w:lastRowLastColumn="0"/>
            <w:tcW w:w="1632" w:type="dxa"/>
            <w:shd w:val="clear" w:color="auto" w:fill="0E2841"/>
            <w:tcMar>
              <w:left w:w="105" w:type="dxa"/>
              <w:right w:w="105" w:type="dxa"/>
            </w:tcMar>
          </w:tcPr>
          <w:p w14:paraId="3437FA78" w14:textId="77777777" w:rsidR="00C958F9" w:rsidRDefault="00686AE6">
            <w:pPr>
              <w:spacing w:before="120" w:after="120"/>
              <w:rPr>
                <w:color w:val="F5F5F5"/>
                <w:sz w:val="20"/>
                <w:szCs w:val="20"/>
              </w:rPr>
            </w:pPr>
            <w:r>
              <w:rPr>
                <w:color w:val="FFFFFF"/>
                <w:sz w:val="20"/>
                <w:szCs w:val="20"/>
              </w:rPr>
              <w:lastRenderedPageBreak/>
              <w:t>Analyse achievement of each milestone</w:t>
            </w:r>
          </w:p>
        </w:tc>
        <w:tc>
          <w:tcPr>
            <w:tcW w:w="7712" w:type="dxa"/>
            <w:tcMar>
              <w:left w:w="105" w:type="dxa"/>
              <w:right w:w="105" w:type="dxa"/>
            </w:tcMar>
          </w:tcPr>
          <w:p w14:paraId="3437FA79" w14:textId="77777777" w:rsidR="00C958F9" w:rsidRDefault="00686AE6">
            <w:pPr>
              <w:spacing w:before="120" w:after="120"/>
              <w:cnfStyle w:val="000000000000" w:firstRow="0" w:lastRow="0" w:firstColumn="0" w:lastColumn="0" w:oddVBand="0" w:evenVBand="0" w:oddHBand="0" w:evenHBand="0" w:firstRowFirstColumn="0" w:firstRowLastColumn="0" w:lastRowFirstColumn="0" w:lastRowLastColumn="0"/>
              <w:rPr>
                <w:sz w:val="20"/>
                <w:szCs w:val="20"/>
              </w:rPr>
            </w:pPr>
            <w:r>
              <w:rPr>
                <w:i/>
                <w:iCs/>
                <w:sz w:val="20"/>
                <w:szCs w:val="20"/>
              </w:rPr>
              <w:t>For each identified milestone, provide a succinct analysis of its implementation process. Use numbered points corresponding to the defined milestones above. Please provide references wherever possible.</w:t>
            </w:r>
          </w:p>
          <w:p w14:paraId="3437FA7A" w14:textId="77777777" w:rsidR="00C958F9" w:rsidRDefault="00686AE6">
            <w:pPr>
              <w:numPr>
                <w:ilvl w:val="0"/>
                <w:numId w:val="2"/>
              </w:numPr>
              <w:pBdr>
                <w:top w:val="nil"/>
                <w:left w:val="nil"/>
                <w:bottom w:val="nil"/>
                <w:right w:val="nil"/>
                <w:between w:val="nil"/>
              </w:pBdr>
              <w:spacing w:before="120"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The beginning of the process was </w:t>
            </w:r>
            <w:hyperlink r:id="rId8">
              <w:r>
                <w:rPr>
                  <w:color w:val="467886"/>
                  <w:sz w:val="20"/>
                  <w:szCs w:val="20"/>
                  <w:u w:val="single"/>
                </w:rPr>
                <w:t>announced</w:t>
              </w:r>
            </w:hyperlink>
            <w:r>
              <w:rPr>
                <w:color w:val="000000"/>
                <w:sz w:val="20"/>
                <w:szCs w:val="20"/>
              </w:rPr>
              <w:t xml:space="preserve"> by the Minister of Information and Telecommunication in 2023, with the note that the working group has been formed, the goal is to align Serbian Law with NIS2 Directive and the deadline for adoption is October 2023.</w:t>
            </w:r>
          </w:p>
          <w:p w14:paraId="3437FA7B" w14:textId="77777777" w:rsidR="00C958F9" w:rsidRDefault="00686AE6">
            <w:pPr>
              <w:numPr>
                <w:ilvl w:val="0"/>
                <w:numId w:val="2"/>
              </w:numPr>
              <w:pBdr>
                <w:top w:val="nil"/>
                <w:left w:val="nil"/>
                <w:bottom w:val="nil"/>
                <w:right w:val="nil"/>
                <w:between w:val="nil"/>
              </w:pBdr>
              <w:spacing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Working Group established (April 2023), but the membership list </w:t>
            </w:r>
            <w:r>
              <w:rPr>
                <w:sz w:val="20"/>
                <w:szCs w:val="20"/>
              </w:rPr>
              <w:t xml:space="preserve">is </w:t>
            </w:r>
            <w:r>
              <w:rPr>
                <w:color w:val="000000"/>
                <w:sz w:val="20"/>
                <w:szCs w:val="20"/>
              </w:rPr>
              <w:t xml:space="preserve">not published. </w:t>
            </w:r>
            <w:hyperlink r:id="rId9">
              <w:r>
                <w:rPr>
                  <w:color w:val="467886"/>
                  <w:sz w:val="20"/>
                  <w:szCs w:val="20"/>
                  <w:u w:val="single"/>
                </w:rPr>
                <w:t>The Ministry states</w:t>
              </w:r>
            </w:hyperlink>
            <w:r>
              <w:rPr>
                <w:color w:val="000000"/>
                <w:sz w:val="20"/>
                <w:szCs w:val="20"/>
              </w:rPr>
              <w:t xml:space="preserve"> that the Working Group was formed and convened on 20 April 2023, and it describes the composition only in general categories (state bodies, organizations active in information security, business representatives, local self-government </w:t>
            </w:r>
            <w:r>
              <w:rPr>
                <w:sz w:val="20"/>
                <w:szCs w:val="20"/>
              </w:rPr>
              <w:t>units</w:t>
            </w:r>
            <w:r>
              <w:rPr>
                <w:color w:val="000000"/>
                <w:sz w:val="20"/>
                <w:szCs w:val="20"/>
              </w:rPr>
              <w:t xml:space="preserve">, and academia), without publishing a nominal list of members in the official announcement. Separately, </w:t>
            </w:r>
            <w:sdt>
              <w:sdtPr>
                <w:tag w:val="goog_rdk_5"/>
                <w:id w:val="-108861427"/>
              </w:sdtPr>
              <w:sdtContent/>
            </w:sdt>
            <w:hyperlink r:id="rId10">
              <w:r>
                <w:rPr>
                  <w:color w:val="467886"/>
                  <w:sz w:val="20"/>
                  <w:szCs w:val="20"/>
                  <w:u w:val="single"/>
                </w:rPr>
                <w:t>a stakeholder report (NALED)</w:t>
              </w:r>
            </w:hyperlink>
            <w:r>
              <w:rPr>
                <w:color w:val="000000"/>
                <w:sz w:val="20"/>
                <w:szCs w:val="20"/>
              </w:rPr>
              <w:t xml:space="preserve"> states the group involved 57 members and lists several institutions/organizations represented, but it also does not provide a complete official membership list.</w:t>
            </w:r>
          </w:p>
          <w:p w14:paraId="3437FA7C" w14:textId="77777777" w:rsidR="00C958F9" w:rsidRDefault="00686AE6">
            <w:pPr>
              <w:numPr>
                <w:ilvl w:val="0"/>
                <w:numId w:val="2"/>
              </w:numPr>
              <w:pBdr>
                <w:top w:val="nil"/>
                <w:left w:val="nil"/>
                <w:bottom w:val="nil"/>
                <w:right w:val="nil"/>
                <w:between w:val="nil"/>
              </w:pBdr>
              <w:spacing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Initial consultation (via the eConsultation portal) – implemented through two formal consultation rounds (2023 and 2024). The Ministry opened public consultation on the draft Law on Information Security and explicitly stated that the draft text was made available both on the Ministry’s website and on the eKonsultacije portal. In the first round, the </w:t>
            </w:r>
            <w:hyperlink r:id="rId11">
              <w:r>
                <w:rPr>
                  <w:color w:val="467886"/>
                  <w:sz w:val="20"/>
                  <w:szCs w:val="20"/>
                  <w:u w:val="single"/>
                </w:rPr>
                <w:t>consultation period was set from 27 July to 30 August 2023</w:t>
              </w:r>
            </w:hyperlink>
            <w:r>
              <w:rPr>
                <w:color w:val="000000"/>
                <w:sz w:val="20"/>
                <w:szCs w:val="20"/>
              </w:rPr>
              <w:t xml:space="preserve">, with written submissions enabled by email and post. </w:t>
            </w:r>
            <w:hyperlink r:id="rId12">
              <w:r>
                <w:rPr>
                  <w:color w:val="467886"/>
                  <w:sz w:val="20"/>
                  <w:szCs w:val="20"/>
                  <w:u w:val="single"/>
                </w:rPr>
                <w:t>A second consultation round was launched in July 2024 (3–23 July 2024)</w:t>
              </w:r>
            </w:hyperlink>
            <w:r>
              <w:rPr>
                <w:color w:val="000000"/>
                <w:sz w:val="20"/>
                <w:szCs w:val="20"/>
              </w:rPr>
              <w:t>, again with the draft and participation link made available via eKonsultacije and the Ministry’s website.</w:t>
            </w:r>
          </w:p>
          <w:p w14:paraId="3437FA7D" w14:textId="77777777" w:rsidR="00C958F9" w:rsidRDefault="00686AE6">
            <w:pPr>
              <w:numPr>
                <w:ilvl w:val="0"/>
                <w:numId w:val="2"/>
              </w:numPr>
              <w:pBdr>
                <w:top w:val="nil"/>
                <w:left w:val="nil"/>
                <w:bottom w:val="nil"/>
                <w:right w:val="nil"/>
                <w:between w:val="nil"/>
              </w:pBdr>
              <w:spacing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Publication of key materials (draft law, reasoning/RIA-related documentation where applicable, consultation report) – partially implemented, with publication </w:t>
            </w:r>
            <w:r>
              <w:rPr>
                <w:sz w:val="20"/>
                <w:szCs w:val="20"/>
              </w:rPr>
              <w:t xml:space="preserve">of </w:t>
            </w:r>
            <w:r>
              <w:rPr>
                <w:color w:val="000000"/>
                <w:sz w:val="20"/>
                <w:szCs w:val="20"/>
              </w:rPr>
              <w:t xml:space="preserve">2023/2024 drafts and consultation reports. For the 2023 round, </w:t>
            </w:r>
            <w:hyperlink r:id="rId13">
              <w:r>
                <w:rPr>
                  <w:color w:val="467886"/>
                  <w:sz w:val="20"/>
                  <w:szCs w:val="20"/>
                  <w:u w:val="single"/>
                </w:rPr>
                <w:t>the Ministry published</w:t>
              </w:r>
            </w:hyperlink>
            <w:r>
              <w:rPr>
                <w:color w:val="000000"/>
                <w:sz w:val="20"/>
                <w:szCs w:val="20"/>
              </w:rPr>
              <w:t xml:space="preserve"> the formal conclusion initiating the public debate, the debate programme, and the draft law and its reasoning, and later published the post-consultation revised text and the public debate report summarizing all received comments and responses. For the 2024 round, </w:t>
            </w:r>
            <w:hyperlink r:id="rId14">
              <w:r>
                <w:rPr>
                  <w:color w:val="467886"/>
                  <w:sz w:val="20"/>
                  <w:szCs w:val="20"/>
                  <w:u w:val="single"/>
                </w:rPr>
                <w:t>the Ministry published</w:t>
              </w:r>
            </w:hyperlink>
            <w:r>
              <w:rPr>
                <w:color w:val="000000"/>
                <w:sz w:val="20"/>
                <w:szCs w:val="20"/>
              </w:rPr>
              <w:t xml:space="preserve"> the draft, and the public debate report. RIA report has not been published.</w:t>
            </w:r>
          </w:p>
          <w:p w14:paraId="3437FA7E" w14:textId="77777777" w:rsidR="00C958F9" w:rsidRDefault="00686AE6">
            <w:pPr>
              <w:numPr>
                <w:ilvl w:val="0"/>
                <w:numId w:val="2"/>
              </w:numPr>
              <w:pBdr>
                <w:top w:val="nil"/>
                <w:left w:val="nil"/>
                <w:bottom w:val="nil"/>
                <w:right w:val="nil"/>
                <w:between w:val="nil"/>
              </w:pBdr>
              <w:spacing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The Ministry conducted a formal public debate in 2023, including two roundtables (</w:t>
            </w:r>
            <w:hyperlink r:id="rId15">
              <w:r>
                <w:rPr>
                  <w:color w:val="467886"/>
                  <w:sz w:val="20"/>
                  <w:szCs w:val="20"/>
                  <w:u w:val="single"/>
                </w:rPr>
                <w:t>Belgrade on 18 August 2023 and Kragujevac on 21 August 2023</w:t>
              </w:r>
            </w:hyperlink>
            <w:r>
              <w:rPr>
                <w:color w:val="000000"/>
                <w:sz w:val="20"/>
                <w:szCs w:val="20"/>
              </w:rPr>
              <w:t xml:space="preserve">), and issued a dedicated public debate report describing </w:t>
            </w:r>
            <w:r>
              <w:rPr>
                <w:color w:val="000000"/>
                <w:sz w:val="20"/>
                <w:szCs w:val="20"/>
              </w:rPr>
              <w:lastRenderedPageBreak/>
              <w:t>participation, the number of submitters, the types of comments received, and the rationale for acceptance/rejection. A further public debate was conducted in 2024, including an online roundtable (</w:t>
            </w:r>
            <w:hyperlink r:id="rId16">
              <w:r>
                <w:rPr>
                  <w:color w:val="467886"/>
                  <w:sz w:val="20"/>
                  <w:szCs w:val="20"/>
                  <w:u w:val="single"/>
                </w:rPr>
                <w:t>17 July 2024</w:t>
              </w:r>
            </w:hyperlink>
            <w:r>
              <w:rPr>
                <w:color w:val="000000"/>
                <w:sz w:val="20"/>
                <w:szCs w:val="20"/>
              </w:rPr>
              <w:t>), followed by the preparation and publication of a report that includes received proposals and the Ministry’s responses.</w:t>
            </w:r>
          </w:p>
          <w:p w14:paraId="3437FA7F" w14:textId="77777777" w:rsidR="00C958F9" w:rsidRDefault="00686AE6">
            <w:pPr>
              <w:numPr>
                <w:ilvl w:val="0"/>
                <w:numId w:val="2"/>
              </w:numPr>
              <w:pBdr>
                <w:top w:val="nil"/>
                <w:left w:val="nil"/>
                <w:bottom w:val="nil"/>
                <w:right w:val="nil"/>
                <w:between w:val="nil"/>
              </w:pBdr>
              <w:spacing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On 27 February 2025, </w:t>
            </w:r>
            <w:hyperlink r:id="rId17">
              <w:r>
                <w:rPr>
                  <w:color w:val="467886"/>
                  <w:sz w:val="20"/>
                  <w:szCs w:val="20"/>
                  <w:u w:val="single"/>
                </w:rPr>
                <w:t>The Ministry announced</w:t>
              </w:r>
            </w:hyperlink>
            <w:r>
              <w:rPr>
                <w:color w:val="000000"/>
                <w:sz w:val="20"/>
                <w:szCs w:val="20"/>
              </w:rPr>
              <w:t xml:space="preserve"> that the Government adopted the Proposal Law on Information Security. A separate Government communication also refers to </w:t>
            </w:r>
            <w:hyperlink r:id="rId18">
              <w:r>
                <w:rPr>
                  <w:color w:val="467886"/>
                  <w:sz w:val="20"/>
                  <w:szCs w:val="20"/>
                  <w:u w:val="single"/>
                </w:rPr>
                <w:t>adoption of the proposal on 21 June 2025</w:t>
              </w:r>
            </w:hyperlink>
            <w:r>
              <w:rPr>
                <w:color w:val="000000"/>
                <w:sz w:val="20"/>
                <w:szCs w:val="20"/>
              </w:rPr>
              <w:t xml:space="preserve">. The National Assembly then </w:t>
            </w:r>
            <w:hyperlink r:id="rId19">
              <w:r>
                <w:rPr>
                  <w:color w:val="467886"/>
                  <w:sz w:val="20"/>
                  <w:szCs w:val="20"/>
                  <w:u w:val="single"/>
                </w:rPr>
                <w:t>adopted the Law</w:t>
              </w:r>
            </w:hyperlink>
            <w:r>
              <w:rPr>
                <w:color w:val="000000"/>
                <w:sz w:val="20"/>
                <w:szCs w:val="20"/>
              </w:rPr>
              <w:t xml:space="preserve"> in the “Day for Voting” on 22 October 2025, and the enacted law is </w:t>
            </w:r>
            <w:hyperlink r:id="rId20">
              <w:r>
                <w:rPr>
                  <w:color w:val="467886"/>
                  <w:sz w:val="20"/>
                  <w:szCs w:val="20"/>
                  <w:u w:val="single"/>
                </w:rPr>
                <w:t>published</w:t>
              </w:r>
            </w:hyperlink>
            <w:r>
              <w:rPr>
                <w:color w:val="000000"/>
                <w:sz w:val="20"/>
                <w:szCs w:val="20"/>
              </w:rPr>
              <w:t xml:space="preserve"> </w:t>
            </w:r>
            <w:r>
              <w:rPr>
                <w:sz w:val="20"/>
                <w:szCs w:val="20"/>
              </w:rPr>
              <w:t>in the</w:t>
            </w:r>
            <w:r>
              <w:rPr>
                <w:color w:val="000000"/>
                <w:sz w:val="20"/>
                <w:szCs w:val="20"/>
              </w:rPr>
              <w:t xml:space="preserve"> Official Gazette of the Republic of Serbia No. 91/2025</w:t>
            </w:r>
          </w:p>
          <w:p w14:paraId="3437FA80" w14:textId="77777777" w:rsidR="00C958F9" w:rsidRDefault="00686AE6">
            <w:pPr>
              <w:numPr>
                <w:ilvl w:val="0"/>
                <w:numId w:val="2"/>
              </w:numPr>
              <w:pBdr>
                <w:top w:val="nil"/>
                <w:left w:val="nil"/>
                <w:bottom w:val="nil"/>
                <w:right w:val="nil"/>
                <w:between w:val="nil"/>
              </w:pBdr>
              <w:spacing w:after="120"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Although the Ministry assessed the law as “fully aligned”, its own alignment table indicates that certain provisions still need to be regulated through secondary legislation, some matters are meant to be addressed through other laws (which has not yet been done), and some elements, such as the sanctions regime, are not aligned with NIS2.</w:t>
            </w:r>
          </w:p>
        </w:tc>
      </w:tr>
      <w:tr w:rsidR="00C958F9" w14:paraId="3437FA87" w14:textId="77777777" w:rsidTr="00C958F9">
        <w:trPr>
          <w:trHeight w:val="300"/>
        </w:trPr>
        <w:tc>
          <w:tcPr>
            <w:cnfStyle w:val="001000000000" w:firstRow="0" w:lastRow="0" w:firstColumn="1" w:lastColumn="0" w:oddVBand="0" w:evenVBand="0" w:oddHBand="0" w:evenHBand="0" w:firstRowFirstColumn="0" w:firstRowLastColumn="0" w:lastRowFirstColumn="0" w:lastRowLastColumn="0"/>
            <w:tcW w:w="1632" w:type="dxa"/>
            <w:shd w:val="clear" w:color="auto" w:fill="0E2841"/>
            <w:tcMar>
              <w:left w:w="105" w:type="dxa"/>
              <w:right w:w="105" w:type="dxa"/>
            </w:tcMar>
          </w:tcPr>
          <w:p w14:paraId="3437FA82" w14:textId="77777777" w:rsidR="00C958F9" w:rsidRDefault="00686AE6">
            <w:pPr>
              <w:spacing w:before="120" w:after="120"/>
              <w:rPr>
                <w:color w:val="F5F5F5"/>
                <w:sz w:val="20"/>
                <w:szCs w:val="20"/>
              </w:rPr>
            </w:pPr>
            <w:r>
              <w:rPr>
                <w:color w:val="FFFFFF"/>
                <w:sz w:val="20"/>
                <w:szCs w:val="20"/>
              </w:rPr>
              <w:lastRenderedPageBreak/>
              <w:t>Key issues in implementation</w:t>
            </w:r>
          </w:p>
        </w:tc>
        <w:tc>
          <w:tcPr>
            <w:tcW w:w="7712" w:type="dxa"/>
            <w:tcMar>
              <w:left w:w="105" w:type="dxa"/>
              <w:right w:w="105" w:type="dxa"/>
            </w:tcMar>
          </w:tcPr>
          <w:p w14:paraId="3437FA83" w14:textId="77777777" w:rsidR="00C958F9" w:rsidRDefault="00686AE6">
            <w:pPr>
              <w:spacing w:before="120" w:after="120"/>
              <w:cnfStyle w:val="000000000000" w:firstRow="0" w:lastRow="0" w:firstColumn="0" w:lastColumn="0" w:oddVBand="0" w:evenVBand="0" w:oddHBand="0" w:evenHBand="0" w:firstRowFirstColumn="0" w:firstRowLastColumn="0" w:lastRowFirstColumn="0" w:lastRowLastColumn="0"/>
              <w:rPr>
                <w:sz w:val="20"/>
                <w:szCs w:val="20"/>
              </w:rPr>
            </w:pPr>
            <w:r>
              <w:rPr>
                <w:i/>
                <w:iCs/>
                <w:sz w:val="20"/>
                <w:szCs w:val="20"/>
              </w:rPr>
              <w:t>List and briefly explain key problems/issues arising in the reform step implementation. This can follow the milestone structure, but depending on the reform step, it can also be an analysis for the whole step. Please provide references wherever possible.</w:t>
            </w:r>
          </w:p>
          <w:p w14:paraId="3437FA84" w14:textId="77777777" w:rsidR="00C958F9" w:rsidRDefault="00686AE6">
            <w:pPr>
              <w:numPr>
                <w:ilvl w:val="0"/>
                <w:numId w:val="1"/>
              </w:numPr>
              <w:pBdr>
                <w:top w:val="nil"/>
                <w:left w:val="nil"/>
                <w:bottom w:val="nil"/>
                <w:right w:val="nil"/>
                <w:between w:val="nil"/>
              </w:pBdr>
              <w:spacing w:before="120"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Limited transparency of the early drafting phase - working group composition not disclosed. Also, the Ministry </w:t>
            </w:r>
            <w:r>
              <w:rPr>
                <w:sz w:val="20"/>
                <w:szCs w:val="20"/>
              </w:rPr>
              <w:t>did not provide clear information on the reason why the public debate was conducted twice.</w:t>
            </w:r>
            <w:r>
              <w:rPr>
                <w:color w:val="000000"/>
                <w:sz w:val="20"/>
                <w:szCs w:val="20"/>
              </w:rPr>
              <w:t xml:space="preserve"> Although the Ministry publicly announced the Working Group’s work, the membership list was not published (only broad categories of participants). </w:t>
            </w:r>
          </w:p>
          <w:p w14:paraId="3437FA85" w14:textId="77777777" w:rsidR="00C958F9" w:rsidRDefault="00686AE6">
            <w:pPr>
              <w:numPr>
                <w:ilvl w:val="0"/>
                <w:numId w:val="1"/>
              </w:numPr>
              <w:pBdr>
                <w:top w:val="nil"/>
                <w:left w:val="nil"/>
                <w:bottom w:val="nil"/>
                <w:right w:val="nil"/>
                <w:between w:val="nil"/>
              </w:pBdr>
              <w:spacing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Transparency is uneven across stages. While drafts and consultation outputs were published, key accountability documents needed for independent verification are not consistently provided in a single, auditable </w:t>
            </w:r>
            <w:proofErr w:type="spellStart"/>
            <w:proofErr w:type="gramStart"/>
            <w:r>
              <w:rPr>
                <w:color w:val="000000"/>
                <w:sz w:val="20"/>
                <w:szCs w:val="20"/>
              </w:rPr>
              <w:t>package.Although</w:t>
            </w:r>
            <w:proofErr w:type="spellEnd"/>
            <w:proofErr w:type="gramEnd"/>
            <w:r>
              <w:rPr>
                <w:color w:val="000000"/>
                <w:sz w:val="20"/>
                <w:szCs w:val="20"/>
              </w:rPr>
              <w:t xml:space="preserve"> published materials did include draft and its explanation, they did not include RIA report, </w:t>
            </w:r>
            <w:r>
              <w:rPr>
                <w:sz w:val="20"/>
                <w:szCs w:val="20"/>
              </w:rPr>
              <w:t>NIS2 correspondence table, working group composition, etc.</w:t>
            </w:r>
          </w:p>
          <w:p w14:paraId="3437FA86" w14:textId="77777777" w:rsidR="00C958F9" w:rsidRDefault="00686AE6">
            <w:pPr>
              <w:numPr>
                <w:ilvl w:val="0"/>
                <w:numId w:val="1"/>
              </w:numPr>
              <w:pBdr>
                <w:top w:val="nil"/>
                <w:left w:val="nil"/>
                <w:bottom w:val="nil"/>
                <w:right w:val="nil"/>
                <w:between w:val="nil"/>
              </w:pBdr>
              <w:spacing w:after="120"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Insufficient public evidence to substantiate full alignment with NIS2. Although the Ministry has assessed the law as “fully aligned”, based on the Ministry’s own internal alignment table, certain provisions still require regulation through secondary legislation, some issues are intended to be addressed through other laws (which has not yet occurred), and some elements, such as the sanctions regime, remain not aligned with NIS2.</w:t>
            </w:r>
          </w:p>
        </w:tc>
      </w:tr>
      <w:tr w:rsidR="00C958F9" w14:paraId="3437FA92" w14:textId="77777777" w:rsidTr="00C958F9">
        <w:trPr>
          <w:trHeight w:val="300"/>
        </w:trPr>
        <w:tc>
          <w:tcPr>
            <w:cnfStyle w:val="001000000000" w:firstRow="0" w:lastRow="0" w:firstColumn="1" w:lastColumn="0" w:oddVBand="0" w:evenVBand="0" w:oddHBand="0" w:evenHBand="0" w:firstRowFirstColumn="0" w:firstRowLastColumn="0" w:lastRowFirstColumn="0" w:lastRowLastColumn="0"/>
            <w:tcW w:w="1632" w:type="dxa"/>
            <w:shd w:val="clear" w:color="auto" w:fill="0E2841"/>
            <w:tcMar>
              <w:left w:w="105" w:type="dxa"/>
              <w:right w:w="105" w:type="dxa"/>
            </w:tcMar>
          </w:tcPr>
          <w:p w14:paraId="3437FA88" w14:textId="77777777" w:rsidR="00C958F9" w:rsidRDefault="00686AE6">
            <w:pPr>
              <w:spacing w:before="120" w:after="120"/>
              <w:rPr>
                <w:color w:val="F5F5F5"/>
                <w:sz w:val="20"/>
                <w:szCs w:val="20"/>
              </w:rPr>
            </w:pPr>
            <w:r>
              <w:rPr>
                <w:color w:val="FFFFFF"/>
                <w:sz w:val="20"/>
                <w:szCs w:val="20"/>
              </w:rPr>
              <w:t>Analyse how key principles of RGF were respected in the reform step implementation</w:t>
            </w:r>
          </w:p>
        </w:tc>
        <w:tc>
          <w:tcPr>
            <w:tcW w:w="7712" w:type="dxa"/>
            <w:tcMar>
              <w:left w:w="105" w:type="dxa"/>
              <w:right w:w="105" w:type="dxa"/>
            </w:tcMar>
          </w:tcPr>
          <w:p w14:paraId="3437FA89" w14:textId="77777777" w:rsidR="00C958F9" w:rsidRDefault="00686AE6">
            <w:pPr>
              <w:spacing w:before="120" w:after="120"/>
              <w:cnfStyle w:val="000000000000" w:firstRow="0" w:lastRow="0" w:firstColumn="0" w:lastColumn="0" w:oddVBand="0" w:evenVBand="0" w:oddHBand="0" w:evenHBand="0" w:firstRowFirstColumn="0" w:firstRowLastColumn="0" w:lastRowFirstColumn="0" w:lastRowLastColumn="0"/>
              <w:rPr>
                <w:sz w:val="20"/>
                <w:szCs w:val="20"/>
              </w:rPr>
            </w:pPr>
            <w:r>
              <w:rPr>
                <w:i/>
                <w:iCs/>
                <w:sz w:val="20"/>
                <w:szCs w:val="20"/>
              </w:rPr>
              <w:t xml:space="preserve">How transparent has the reform step implementation been? How has civil society and the wider public been informed about it? What data and information, including key documents, have been made publicly available? </w:t>
            </w:r>
          </w:p>
          <w:p w14:paraId="3437FA8A" w14:textId="77777777" w:rsidR="00C958F9" w:rsidRDefault="00686AE6">
            <w:pPr>
              <w:spacing w:before="120" w:after="120"/>
              <w:cnfStyle w:val="000000000000" w:firstRow="0" w:lastRow="0" w:firstColumn="0" w:lastColumn="0" w:oddVBand="0" w:evenVBand="0" w:oddHBand="0" w:evenHBand="0" w:firstRowFirstColumn="0" w:firstRowLastColumn="0" w:lastRowFirstColumn="0" w:lastRowLastColumn="0"/>
              <w:rPr>
                <w:sz w:val="20"/>
                <w:szCs w:val="20"/>
              </w:rPr>
            </w:pPr>
            <w:r>
              <w:rPr>
                <w:i/>
                <w:iCs/>
                <w:sz w:val="20"/>
                <w:szCs w:val="20"/>
              </w:rPr>
              <w:t xml:space="preserve">How inclusive was the implementation process? Has the implementation of the reform step allowed for participation of interested stakeholders, especially civil society organisations and – where applicable – business community? How was such participation ensured? What were the issues regarding their participation, if any? </w:t>
            </w:r>
          </w:p>
          <w:p w14:paraId="3437FA8B" w14:textId="77777777" w:rsidR="00C958F9" w:rsidRDefault="00686AE6">
            <w:pPr>
              <w:spacing w:before="120" w:after="120"/>
              <w:cnfStyle w:val="000000000000" w:firstRow="0" w:lastRow="0" w:firstColumn="0" w:lastColumn="0" w:oddVBand="0" w:evenVBand="0" w:oddHBand="0" w:evenHBand="0" w:firstRowFirstColumn="0" w:firstRowLastColumn="0" w:lastRowFirstColumn="0" w:lastRowLastColumn="0"/>
              <w:rPr>
                <w:sz w:val="20"/>
                <w:szCs w:val="20"/>
              </w:rPr>
            </w:pPr>
            <w:r>
              <w:rPr>
                <w:i/>
                <w:iCs/>
                <w:sz w:val="20"/>
                <w:szCs w:val="20"/>
              </w:rPr>
              <w:lastRenderedPageBreak/>
              <w:t xml:space="preserve">Depending on the reform step, provide an analysis of how other key RGF principles – apart from transparency and inclusivity analysed above – were respected in its implementation, as applicable: sound financial management, equal treatment, non-discrimination and proportionality for intended purpose. </w:t>
            </w:r>
          </w:p>
          <w:p w14:paraId="3437FA8C" w14:textId="77777777" w:rsidR="00C958F9" w:rsidRDefault="00686AE6">
            <w:pPr>
              <w:spacing w:before="120" w:after="120"/>
              <w:cnfStyle w:val="000000000000" w:firstRow="0" w:lastRow="0" w:firstColumn="0" w:lastColumn="0" w:oddVBand="0" w:evenVBand="0" w:oddHBand="0" w:evenHBand="0" w:firstRowFirstColumn="0" w:firstRowLastColumn="0" w:lastRowFirstColumn="0" w:lastRowLastColumn="0"/>
              <w:rPr>
                <w:sz w:val="20"/>
                <w:szCs w:val="20"/>
              </w:rPr>
            </w:pPr>
            <w:r>
              <w:rPr>
                <w:i/>
                <w:iCs/>
                <w:sz w:val="20"/>
                <w:szCs w:val="20"/>
              </w:rPr>
              <w:t>Please provide references wherever possible.</w:t>
            </w:r>
          </w:p>
          <w:p w14:paraId="3437FA8D" w14:textId="77777777" w:rsidR="00C958F9" w:rsidRDefault="00686AE6">
            <w:pPr>
              <w:numPr>
                <w:ilvl w:val="0"/>
                <w:numId w:val="13"/>
              </w:numPr>
              <w:pBdr>
                <w:top w:val="nil"/>
                <w:left w:val="nil"/>
                <w:bottom w:val="nil"/>
                <w:right w:val="nil"/>
                <w:between w:val="nil"/>
              </w:pBdr>
              <w:spacing w:before="120"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Transparency was partial. On the positive side, the Ministry publicly announced the start of the drafting process and the existence of a working group and published public debate notices and drafts on its website and via the eConsultations channel. The Ministry also ran formal public debates (2023 and 2024) and publicly communicated the ways to participate and the debate timetable. However, transparency gaps remain</w:t>
            </w:r>
            <w:r>
              <w:rPr>
                <w:sz w:val="20"/>
                <w:szCs w:val="20"/>
              </w:rPr>
              <w:t>, as</w:t>
            </w:r>
            <w:r>
              <w:rPr>
                <w:color w:val="000000"/>
                <w:sz w:val="20"/>
                <w:szCs w:val="20"/>
              </w:rPr>
              <w:t xml:space="preserve"> the Working Group composition was described only in broad categories, without a published list of members. </w:t>
            </w:r>
          </w:p>
          <w:p w14:paraId="3437FA8E" w14:textId="77777777" w:rsidR="00C958F9" w:rsidRDefault="00686AE6">
            <w:pPr>
              <w:numPr>
                <w:ilvl w:val="0"/>
                <w:numId w:val="13"/>
              </w:numPr>
              <w:pBdr>
                <w:top w:val="nil"/>
                <w:left w:val="nil"/>
                <w:bottom w:val="nil"/>
                <w:right w:val="nil"/>
                <w:between w:val="nil"/>
              </w:pBdr>
              <w:spacing w:after="120"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Inclusivity. The process included formal mechanisms enabling participation by interested stakeholders. In 2023, the Ministry announced a public debate period and provided participation channels (email and post), alongside two roundtables (Belgrade and Kragujevac). In 2024, the Ministry again announced a public debate and provided written submission and a roundtable, which in principle lowers geographic barriers compared to in-person-only formats. Althoug</w:t>
            </w:r>
            <w:r>
              <w:rPr>
                <w:sz w:val="20"/>
                <w:szCs w:val="20"/>
              </w:rPr>
              <w:t>h the names of the Working group members were not disclosed, general statements of its composition reflect inclusivity, as it did consist of state representatives, academia, NGOs and private sector.</w:t>
            </w:r>
          </w:p>
          <w:p w14:paraId="3437FA8F" w14:textId="77777777" w:rsidR="00C958F9" w:rsidRDefault="00686AE6">
            <w:pPr>
              <w:spacing w:before="120" w:after="120"/>
              <w:ind w:left="72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Based on the </w:t>
            </w:r>
            <w:hyperlink r:id="rId21">
              <w:r>
                <w:rPr>
                  <w:color w:val="467886"/>
                  <w:sz w:val="20"/>
                  <w:szCs w:val="20"/>
                  <w:u w:val="single"/>
                </w:rPr>
                <w:t>2023 public debate report</w:t>
              </w:r>
            </w:hyperlink>
            <w:r>
              <w:rPr>
                <w:sz w:val="20"/>
                <w:szCs w:val="20"/>
              </w:rPr>
              <w:t xml:space="preserve">, participation was broad across sectors: the report lists attendees and stakeholders spanning public authorities and local self-government, business/industry actors, academia, media, international actors, civil society, and several citizens (e.g., NALED, Partners Serbia, Share Foundation, </w:t>
            </w:r>
            <w:proofErr w:type="spellStart"/>
            <w:r>
              <w:rPr>
                <w:sz w:val="20"/>
                <w:szCs w:val="20"/>
              </w:rPr>
              <w:t>eGovernance</w:t>
            </w:r>
            <w:proofErr w:type="spellEnd"/>
            <w:r>
              <w:rPr>
                <w:sz w:val="20"/>
                <w:szCs w:val="20"/>
              </w:rPr>
              <w:t xml:space="preserve"> Academy, municipalities, RATEL, banks/insurers, UNDP, media outlets, and others). </w:t>
            </w:r>
          </w:p>
          <w:p w14:paraId="3437FA90" w14:textId="77777777" w:rsidR="00C958F9" w:rsidRDefault="00686AE6">
            <w:pPr>
              <w:spacing w:before="120" w:after="120"/>
              <w:ind w:left="72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Key issues affecting inclusivity are mainly procedural/traceability-related: (1) the 2023 report states that no submissions were made through eConsultations, with all comments sent by email, which can weaken equal visibility of submissions and the audit trail on the official consultation platform; and (2) early-phase inclusivity is harder to assess without a published Working Group membership list.</w:t>
            </w:r>
          </w:p>
          <w:p w14:paraId="3437FA91" w14:textId="77777777" w:rsidR="00C958F9" w:rsidRDefault="00686AE6">
            <w:pPr>
              <w:numPr>
                <w:ilvl w:val="0"/>
                <w:numId w:val="13"/>
              </w:numPr>
              <w:pBdr>
                <w:top w:val="nil"/>
                <w:left w:val="nil"/>
                <w:bottom w:val="nil"/>
                <w:right w:val="nil"/>
                <w:between w:val="nil"/>
              </w:pBdr>
              <w:spacing w:before="120" w:after="120" w:line="278"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Other RGF principles. Sound financial management is partially evidenced in the </w:t>
            </w:r>
            <w:hyperlink r:id="rId22">
              <w:r>
                <w:rPr>
                  <w:color w:val="467886"/>
                  <w:sz w:val="20"/>
                  <w:szCs w:val="20"/>
                  <w:u w:val="single"/>
                </w:rPr>
                <w:t>explanatory memorandum</w:t>
              </w:r>
            </w:hyperlink>
            <w:r>
              <w:rPr>
                <w:color w:val="000000"/>
                <w:sz w:val="20"/>
                <w:szCs w:val="20"/>
              </w:rPr>
              <w:t>, which identifies a concrete budget line for implementation (RSD 50,000,000 in 2024, with projections for 2025 and 2026) for capacity-building of the Ministry’s CERT functions and rapid incident response, supporting basic fiscal traceability. Equal treatment/non-discrimination appears to have been respected in the formal design (</w:t>
            </w:r>
            <w:hyperlink r:id="rId23">
              <w:r>
                <w:rPr>
                  <w:color w:val="467886"/>
                  <w:sz w:val="20"/>
                  <w:szCs w:val="20"/>
                  <w:u w:val="single"/>
                </w:rPr>
                <w:t>open invitations and multiple participation channels, including an online event in 2024</w:t>
              </w:r>
            </w:hyperlink>
            <w:r>
              <w:rPr>
                <w:color w:val="000000"/>
                <w:sz w:val="20"/>
                <w:szCs w:val="20"/>
              </w:rPr>
              <w:t xml:space="preserve">). Proportionality for the intended purpose is reflected in the stated shift toward a risk-based, differentiated approach aligned with NIS2 logic (e.g., clearer identification/categorisation of entities, strengthened oversight, and </w:t>
            </w:r>
            <w:r>
              <w:rPr>
                <w:color w:val="000000"/>
                <w:sz w:val="20"/>
                <w:szCs w:val="20"/>
              </w:rPr>
              <w:lastRenderedPageBreak/>
              <w:t>reinforced CERT role), but the proportionality of detailed obligations will be assessable more reliably only once bylaws are adopted and publicly available.</w:t>
            </w:r>
          </w:p>
        </w:tc>
      </w:tr>
      <w:tr w:rsidR="00C958F9" w14:paraId="3437FA98" w14:textId="77777777" w:rsidTr="00C958F9">
        <w:trPr>
          <w:trHeight w:val="300"/>
        </w:trPr>
        <w:tc>
          <w:tcPr>
            <w:cnfStyle w:val="001000000000" w:firstRow="0" w:lastRow="0" w:firstColumn="1" w:lastColumn="0" w:oddVBand="0" w:evenVBand="0" w:oddHBand="0" w:evenHBand="0" w:firstRowFirstColumn="0" w:firstRowLastColumn="0" w:lastRowFirstColumn="0" w:lastRowLastColumn="0"/>
            <w:tcW w:w="1632" w:type="dxa"/>
            <w:shd w:val="clear" w:color="auto" w:fill="0E2841"/>
            <w:tcMar>
              <w:left w:w="105" w:type="dxa"/>
              <w:right w:w="105" w:type="dxa"/>
            </w:tcMar>
          </w:tcPr>
          <w:p w14:paraId="3437FA93" w14:textId="77777777" w:rsidR="00C958F9" w:rsidRDefault="00686AE6">
            <w:pPr>
              <w:spacing w:before="120" w:after="120"/>
              <w:rPr>
                <w:color w:val="F5F5F5"/>
                <w:sz w:val="20"/>
                <w:szCs w:val="20"/>
              </w:rPr>
            </w:pPr>
            <w:r>
              <w:rPr>
                <w:color w:val="FFFFFF"/>
                <w:sz w:val="20"/>
                <w:szCs w:val="20"/>
              </w:rPr>
              <w:lastRenderedPageBreak/>
              <w:t>Public availability of evidence of implementation</w:t>
            </w:r>
          </w:p>
        </w:tc>
        <w:tc>
          <w:tcPr>
            <w:tcW w:w="7712" w:type="dxa"/>
            <w:tcMar>
              <w:left w:w="105" w:type="dxa"/>
              <w:right w:w="105" w:type="dxa"/>
            </w:tcMar>
          </w:tcPr>
          <w:p w14:paraId="3437FA94" w14:textId="77777777" w:rsidR="00C958F9" w:rsidRDefault="00686AE6">
            <w:pPr>
              <w:spacing w:before="120" w:after="120"/>
              <w:cnfStyle w:val="000000000000" w:firstRow="0" w:lastRow="0" w:firstColumn="0" w:lastColumn="0" w:oddVBand="0" w:evenVBand="0" w:oddHBand="0" w:evenHBand="0" w:firstRowFirstColumn="0" w:firstRowLastColumn="0" w:lastRowFirstColumn="0" w:lastRowLastColumn="0"/>
              <w:rPr>
                <w:sz w:val="20"/>
                <w:szCs w:val="20"/>
              </w:rPr>
            </w:pPr>
            <w:r>
              <w:rPr>
                <w:i/>
                <w:iCs/>
                <w:sz w:val="20"/>
                <w:szCs w:val="20"/>
              </w:rPr>
              <w:t>Has the final source of verification (as per Reform Agenda) been made publicly available? If yes, please list the source (provide link) and date.</w:t>
            </w:r>
          </w:p>
          <w:p w14:paraId="3437FA95" w14:textId="77777777" w:rsidR="00C958F9" w:rsidRDefault="00686AE6">
            <w:pPr>
              <w:spacing w:before="120" w:after="12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The final source of verification (the enacted Law on Information Security) is publicly available, with the publication date – 23 October 2025: </w:t>
            </w:r>
            <w:hyperlink r:id="rId24">
              <w:proofErr w:type="spellStart"/>
              <w:r>
                <w:rPr>
                  <w:color w:val="1155CC"/>
                  <w:sz w:val="20"/>
                  <w:szCs w:val="20"/>
                  <w:u w:val="single"/>
                </w:rPr>
                <w:t>Закон</w:t>
              </w:r>
              <w:proofErr w:type="spellEnd"/>
              <w:r>
                <w:rPr>
                  <w:color w:val="1155CC"/>
                  <w:sz w:val="20"/>
                  <w:szCs w:val="20"/>
                  <w:u w:val="single"/>
                </w:rPr>
                <w:t xml:space="preserve"> о </w:t>
              </w:r>
              <w:proofErr w:type="spellStart"/>
              <w:r>
                <w:rPr>
                  <w:color w:val="1155CC"/>
                  <w:sz w:val="20"/>
                  <w:szCs w:val="20"/>
                  <w:u w:val="single"/>
                </w:rPr>
                <w:t>информационој</w:t>
              </w:r>
              <w:proofErr w:type="spellEnd"/>
              <w:r>
                <w:rPr>
                  <w:color w:val="1155CC"/>
                  <w:sz w:val="20"/>
                  <w:szCs w:val="20"/>
                  <w:u w:val="single"/>
                </w:rPr>
                <w:t xml:space="preserve"> </w:t>
              </w:r>
              <w:proofErr w:type="spellStart"/>
              <w:r>
                <w:rPr>
                  <w:color w:val="1155CC"/>
                  <w:sz w:val="20"/>
                  <w:szCs w:val="20"/>
                  <w:u w:val="single"/>
                </w:rPr>
                <w:t>безбедности</w:t>
              </w:r>
              <w:proofErr w:type="spellEnd"/>
              <w:r>
                <w:rPr>
                  <w:color w:val="1155CC"/>
                  <w:sz w:val="20"/>
                  <w:szCs w:val="20"/>
                  <w:u w:val="single"/>
                </w:rPr>
                <w:t>: 91/2025-17</w:t>
              </w:r>
            </w:hyperlink>
          </w:p>
          <w:p w14:paraId="3437FA97" w14:textId="591E84A3" w:rsidR="00C958F9" w:rsidRDefault="00686AE6" w:rsidP="008C37E3">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Correspondence table: </w:t>
            </w:r>
            <w:hyperlink r:id="rId25">
              <w:r>
                <w:rPr>
                  <w:sz w:val="20"/>
                  <w:szCs w:val="20"/>
                </w:rPr>
                <w:t>http://www.parlament.gov.rs/upload/archive/files/cir/pdf/predlozi_zakona/14_saziv/1223-25.pdf</w:t>
              </w:r>
            </w:hyperlink>
            <w:r w:rsidR="00FA3B4C">
              <w:t xml:space="preserve"> </w:t>
            </w:r>
            <w:r>
              <w:rPr>
                <w:sz w:val="20"/>
                <w:szCs w:val="20"/>
              </w:rPr>
              <w:t xml:space="preserve">  </w:t>
            </w:r>
          </w:p>
        </w:tc>
      </w:tr>
      <w:tr w:rsidR="00C958F9" w14:paraId="3437FA9C" w14:textId="77777777" w:rsidTr="00C958F9">
        <w:trPr>
          <w:trHeight w:val="300"/>
        </w:trPr>
        <w:tc>
          <w:tcPr>
            <w:cnfStyle w:val="001000000000" w:firstRow="0" w:lastRow="0" w:firstColumn="1" w:lastColumn="0" w:oddVBand="0" w:evenVBand="0" w:oddHBand="0" w:evenHBand="0" w:firstRowFirstColumn="0" w:firstRowLastColumn="0" w:lastRowFirstColumn="0" w:lastRowLastColumn="0"/>
            <w:tcW w:w="1632" w:type="dxa"/>
            <w:shd w:val="clear" w:color="auto" w:fill="0E2841"/>
            <w:tcMar>
              <w:left w:w="105" w:type="dxa"/>
              <w:right w:w="105" w:type="dxa"/>
            </w:tcMar>
          </w:tcPr>
          <w:p w14:paraId="3437FA99" w14:textId="77777777" w:rsidR="00C958F9" w:rsidRDefault="00686AE6">
            <w:pPr>
              <w:spacing w:before="120" w:after="120"/>
              <w:rPr>
                <w:color w:val="F5F5F5"/>
                <w:sz w:val="20"/>
                <w:szCs w:val="20"/>
              </w:rPr>
            </w:pPr>
            <w:r>
              <w:rPr>
                <w:color w:val="FFFFFF"/>
                <w:sz w:val="20"/>
                <w:szCs w:val="20"/>
              </w:rPr>
              <w:t>Analyse quality of the final output of the reform step</w:t>
            </w:r>
          </w:p>
        </w:tc>
        <w:tc>
          <w:tcPr>
            <w:tcW w:w="7712" w:type="dxa"/>
            <w:tcMar>
              <w:left w:w="105" w:type="dxa"/>
              <w:right w:w="105" w:type="dxa"/>
            </w:tcMar>
          </w:tcPr>
          <w:p w14:paraId="3437FA9A" w14:textId="77777777" w:rsidR="00C958F9" w:rsidRDefault="00686AE6">
            <w:pPr>
              <w:spacing w:before="120" w:after="120"/>
              <w:cnfStyle w:val="000000000000" w:firstRow="0" w:lastRow="0" w:firstColumn="0" w:lastColumn="0" w:oddVBand="0" w:evenVBand="0" w:oddHBand="0" w:evenHBand="0" w:firstRowFirstColumn="0" w:firstRowLastColumn="0" w:lastRowFirstColumn="0" w:lastRowLastColumn="0"/>
              <w:rPr>
                <w:sz w:val="20"/>
                <w:szCs w:val="20"/>
              </w:rPr>
            </w:pPr>
            <w:r>
              <w:rPr>
                <w:i/>
                <w:iCs/>
                <w:sz w:val="20"/>
                <w:szCs w:val="20"/>
              </w:rPr>
              <w:t xml:space="preserve">To what extent does the final output of this reform step respect the applicable EU membership requirements/principles/standards? </w:t>
            </w:r>
          </w:p>
          <w:p w14:paraId="3437FA9B" w14:textId="77777777" w:rsidR="00C958F9" w:rsidRDefault="00686AE6">
            <w:pPr>
              <w:spacing w:before="120" w:after="12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The final output largely reflects the core EU/NIS2 approach in principle (risk-based obligations, clearer categorisation of covered entities, strengthened oversight/incident-response architecture and the CERT role), which is consistent with EU accession expectations to approximate the cybersecurity acquis. A clause-by-clause NIS2 alignment table reportedly exists and the Ministry has assessed the law as “fully aligned”; however, according to that alignment table, certain provisions still need to be regulated through secondary legislation, some issues are intended to be addressed through other laws (which has not yet occurred), and some elements, such as the sanctions regime, are not aligned with NIS2. In practical terms, the reform step shows substantial normative alignment in direction, while full alignment and effectiveness will depend on adopting and publishing implementing acts, completing the relevant cross-law adjustments, and ensuring effective supervision and enforcement in practice.</w:t>
            </w:r>
          </w:p>
        </w:tc>
      </w:tr>
    </w:tbl>
    <w:p w14:paraId="3437FA9D" w14:textId="77777777" w:rsidR="00C958F9" w:rsidRDefault="00C958F9">
      <w:pPr>
        <w:rPr>
          <w:color w:val="000000"/>
        </w:rPr>
      </w:pPr>
    </w:p>
    <w:p w14:paraId="3437FA9E" w14:textId="77777777" w:rsidR="00C958F9" w:rsidRDefault="00686AE6">
      <w:pPr>
        <w:pStyle w:val="Heading1"/>
        <w:numPr>
          <w:ilvl w:val="0"/>
          <w:numId w:val="4"/>
        </w:numPr>
      </w:pPr>
      <w:r>
        <w:t>Final assessment</w:t>
      </w:r>
    </w:p>
    <w:p w14:paraId="3437FA9F" w14:textId="77777777" w:rsidR="00C958F9" w:rsidRDefault="00C958F9">
      <w:pPr>
        <w:rPr>
          <w:color w:val="000000"/>
        </w:rPr>
      </w:pPr>
    </w:p>
    <w:tbl>
      <w:tblPr>
        <w:tblStyle w:val="aa"/>
        <w:tblW w:w="9000" w:type="dxa"/>
        <w:tblBorders>
          <w:top w:val="single" w:sz="6" w:space="0" w:color="000000"/>
          <w:left w:val="single" w:sz="6" w:space="0" w:color="000000"/>
          <w:bottom w:val="single" w:sz="6" w:space="0" w:color="000000"/>
          <w:right w:val="single" w:sz="6" w:space="0" w:color="000000"/>
          <w:insideH w:val="single" w:sz="4" w:space="0" w:color="999999"/>
          <w:insideV w:val="single" w:sz="4" w:space="0" w:color="999999"/>
        </w:tblBorders>
        <w:tblLayout w:type="fixed"/>
        <w:tblLook w:val="0480" w:firstRow="0" w:lastRow="0" w:firstColumn="1" w:lastColumn="0" w:noHBand="0" w:noVBand="1"/>
      </w:tblPr>
      <w:tblGrid>
        <w:gridCol w:w="2250"/>
        <w:gridCol w:w="6750"/>
      </w:tblGrid>
      <w:tr w:rsidR="00C958F9" w14:paraId="3437FAA3" w14:textId="77777777" w:rsidTr="00C958F9">
        <w:trPr>
          <w:trHeight w:val="300"/>
        </w:trPr>
        <w:tc>
          <w:tcPr>
            <w:cnfStyle w:val="001000000000" w:firstRow="0" w:lastRow="0" w:firstColumn="1" w:lastColumn="0" w:oddVBand="0" w:evenVBand="0" w:oddHBand="0" w:evenHBand="0" w:firstRowFirstColumn="0" w:firstRowLastColumn="0" w:lastRowFirstColumn="0" w:lastRowLastColumn="0"/>
            <w:tcW w:w="2250" w:type="dxa"/>
            <w:shd w:val="clear" w:color="auto" w:fill="0E2841"/>
            <w:tcMar>
              <w:left w:w="105" w:type="dxa"/>
              <w:right w:w="105" w:type="dxa"/>
            </w:tcMar>
          </w:tcPr>
          <w:p w14:paraId="3437FAA0" w14:textId="36C74D71" w:rsidR="00C958F9" w:rsidRDefault="00686AE6">
            <w:pPr>
              <w:spacing w:before="60" w:after="60"/>
              <w:rPr>
                <w:color w:val="F5F5F5"/>
                <w:sz w:val="20"/>
                <w:szCs w:val="20"/>
              </w:rPr>
            </w:pPr>
            <w:r>
              <w:rPr>
                <w:color w:val="FFFFFF"/>
                <w:sz w:val="20"/>
                <w:szCs w:val="20"/>
              </w:rPr>
              <w:t>Assess formal achievemen</w:t>
            </w:r>
            <w:r w:rsidR="00611A5C">
              <w:rPr>
                <w:color w:val="FFFFFF"/>
                <w:sz w:val="20"/>
                <w:szCs w:val="20"/>
              </w:rPr>
              <w:t>t</w:t>
            </w:r>
          </w:p>
        </w:tc>
        <w:tc>
          <w:tcPr>
            <w:tcW w:w="6750" w:type="dxa"/>
            <w:tcMar>
              <w:left w:w="105" w:type="dxa"/>
              <w:right w:w="105" w:type="dxa"/>
            </w:tcMar>
          </w:tcPr>
          <w:p w14:paraId="3437FAA2" w14:textId="4BA6376A" w:rsidR="00C958F9" w:rsidRDefault="00686AE6">
            <w:pPr>
              <w:spacing w:before="120" w:after="120"/>
              <w:cnfStyle w:val="000000000000" w:firstRow="0" w:lastRow="0" w:firstColumn="0" w:lastColumn="0" w:oddVBand="0" w:evenVBand="0" w:oddHBand="0" w:evenHBand="0" w:firstRowFirstColumn="0" w:firstRowLastColumn="0" w:lastRowFirstColumn="0" w:lastRowLastColumn="0"/>
              <w:rPr>
                <w:sz w:val="20"/>
                <w:szCs w:val="20"/>
              </w:rPr>
            </w:pPr>
            <w:r w:rsidRPr="00611A5C">
              <w:rPr>
                <w:b/>
                <w:bCs/>
                <w:sz w:val="20"/>
                <w:szCs w:val="20"/>
              </w:rPr>
              <w:t>Not achieved</w:t>
            </w:r>
          </w:p>
        </w:tc>
      </w:tr>
      <w:tr w:rsidR="00C958F9" w14:paraId="3437FAA7" w14:textId="77777777" w:rsidTr="00C958F9">
        <w:trPr>
          <w:trHeight w:val="300"/>
        </w:trPr>
        <w:tc>
          <w:tcPr>
            <w:cnfStyle w:val="001000000000" w:firstRow="0" w:lastRow="0" w:firstColumn="1" w:lastColumn="0" w:oddVBand="0" w:evenVBand="0" w:oddHBand="0" w:evenHBand="0" w:firstRowFirstColumn="0" w:firstRowLastColumn="0" w:lastRowFirstColumn="0" w:lastRowLastColumn="0"/>
            <w:tcW w:w="2250" w:type="dxa"/>
            <w:shd w:val="clear" w:color="auto" w:fill="0E2841"/>
            <w:tcMar>
              <w:left w:w="105" w:type="dxa"/>
              <w:right w:w="105" w:type="dxa"/>
            </w:tcMar>
          </w:tcPr>
          <w:p w14:paraId="3437FAA4" w14:textId="77777777" w:rsidR="00C958F9" w:rsidRDefault="00686AE6">
            <w:pPr>
              <w:spacing w:before="60" w:after="60"/>
              <w:rPr>
                <w:color w:val="F5F5F5"/>
                <w:sz w:val="20"/>
                <w:szCs w:val="20"/>
              </w:rPr>
            </w:pPr>
            <w:r>
              <w:rPr>
                <w:color w:val="FFFFFF"/>
                <w:sz w:val="20"/>
                <w:szCs w:val="20"/>
              </w:rPr>
              <w:t>Elaboration of final assessment</w:t>
            </w:r>
          </w:p>
        </w:tc>
        <w:tc>
          <w:tcPr>
            <w:tcW w:w="6750" w:type="dxa"/>
            <w:tcMar>
              <w:left w:w="105" w:type="dxa"/>
              <w:right w:w="105" w:type="dxa"/>
            </w:tcMar>
          </w:tcPr>
          <w:p w14:paraId="3437FAA6" w14:textId="77777777" w:rsidR="00C958F9" w:rsidRDefault="00000000">
            <w:pPr>
              <w:spacing w:before="120" w:after="120"/>
              <w:cnfStyle w:val="000000000000" w:firstRow="0" w:lastRow="0" w:firstColumn="0" w:lastColumn="0" w:oddVBand="0" w:evenVBand="0" w:oddHBand="0" w:evenHBand="0" w:firstRowFirstColumn="0" w:firstRowLastColumn="0" w:lastRowFirstColumn="0" w:lastRowLastColumn="0"/>
              <w:rPr>
                <w:sz w:val="20"/>
                <w:szCs w:val="20"/>
              </w:rPr>
            </w:pPr>
            <w:sdt>
              <w:sdtPr>
                <w:tag w:val="goog_rdk_6"/>
                <w:id w:val="-1619543269"/>
              </w:sdtPr>
              <w:sdtContent/>
            </w:sdt>
            <w:r w:rsidR="00686AE6">
              <w:rPr>
                <w:sz w:val="20"/>
                <w:szCs w:val="20"/>
              </w:rPr>
              <w:t>Serbia has adopted the Law on Information Security, and the legislative framework broadly follows the NIS2 model (scope/categorisation of entities, stronger oversight, incident-response architecture and the CERT role). However, despite the Ministry’s assessment of “full alignment” and the existence of an internal NIS2 alignment table, that table indicates several alignment gaps: certain provisions still require secondary legislation, some issues are intended to be regulated through other laws (which has not yet occurred), and some elements, such as the sanctions regime, are not aligned with NIS2. In addition, key operational elements still depend on implementing acts and practical implementation that have not yet been publicly evidenced.</w:t>
            </w:r>
          </w:p>
        </w:tc>
      </w:tr>
    </w:tbl>
    <w:p w14:paraId="3437FAAB" w14:textId="77777777" w:rsidR="00C958F9" w:rsidRDefault="00C958F9">
      <w:pPr>
        <w:spacing w:after="0" w:line="240" w:lineRule="auto"/>
      </w:pPr>
    </w:p>
    <w:sectPr w:rsidR="00C958F9">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09B951" w14:textId="77777777" w:rsidR="000E2CBB" w:rsidRDefault="000E2CBB">
      <w:pPr>
        <w:spacing w:after="0" w:line="240" w:lineRule="auto"/>
      </w:pPr>
      <w:r>
        <w:separator/>
      </w:r>
    </w:p>
  </w:endnote>
  <w:endnote w:type="continuationSeparator" w:id="0">
    <w:p w14:paraId="128BBC6A" w14:textId="77777777" w:rsidR="000E2CBB" w:rsidRDefault="000E2C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embedRegular r:id="rId2" w:fontKey="{5BE3F9AD-13C6-7C40-8472-CD33BA202B90}"/>
  </w:font>
  <w:font w:name="Times New Roman">
    <w:altName w:val="Times New Roman PS"/>
    <w:panose1 w:val="02020603050405020304"/>
    <w:charset w:val="00"/>
    <w:family w:val="roman"/>
    <w:pitch w:val="variable"/>
    <w:sig w:usb0="E0002EFF" w:usb1="C000785B" w:usb2="00000009" w:usb3="00000000" w:csb0="000001FF" w:csb1="00000000"/>
    <w:embedRegular r:id="rId3" w:fontKey="{9E383B18-609F-CB49-8C4E-8018C9198176}"/>
    <w:embedBold r:id="rId4" w:fontKey="{AC685AEF-D09A-7345-8E5D-7BCB611FABD6}"/>
    <w:embedItalic r:id="rId5" w:fontKey="{83B0D7CC-EE3C-754A-BEF6-C9ABAEF7F2D3}"/>
  </w:font>
  <w:font w:name="Aptos">
    <w:panose1 w:val="020B0004020202020204"/>
    <w:charset w:val="00"/>
    <w:family w:val="swiss"/>
    <w:pitch w:val="variable"/>
    <w:sig w:usb0="20000287" w:usb1="00000003" w:usb2="00000000" w:usb3="00000000" w:csb0="0000019F" w:csb1="00000000"/>
    <w:embedRegular r:id="rId6" w:fontKey="{35CD63F0-1E6D-144E-A659-276AE31B92FE}"/>
    <w:embedBold r:id="rId7" w:fontKey="{12AA5893-264A-D143-BE8D-1CFF8B4E6F8A}"/>
    <w:embedItalic r:id="rId8" w:fontKey="{DE650AC3-8A32-B348-AC93-AE6997A691B9}"/>
  </w:font>
  <w:font w:name="Play">
    <w:altName w:val="Calibri"/>
    <w:panose1 w:val="020B0604020202020204"/>
    <w:charset w:val="00"/>
    <w:family w:val="auto"/>
    <w:pitch w:val="default"/>
  </w:font>
  <w:font w:name="Aptos Display">
    <w:panose1 w:val="020B0004020202020204"/>
    <w:charset w:val="00"/>
    <w:family w:val="swiss"/>
    <w:pitch w:val="variable"/>
    <w:sig w:usb0="20000287" w:usb1="00000003" w:usb2="00000000" w:usb3="00000000" w:csb0="0000019F" w:csb1="00000000"/>
    <w:embedRegular r:id="rId10" w:fontKey="{9F2AC77F-3D65-5F42-B2C9-6BD7B682E54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BC84AF" w14:textId="77777777" w:rsidR="000E2CBB" w:rsidRDefault="000E2CBB">
      <w:pPr>
        <w:spacing w:after="0" w:line="240" w:lineRule="auto"/>
      </w:pPr>
      <w:r>
        <w:separator/>
      </w:r>
    </w:p>
  </w:footnote>
  <w:footnote w:type="continuationSeparator" w:id="0">
    <w:p w14:paraId="45A24EBA" w14:textId="77777777" w:rsidR="000E2CBB" w:rsidRDefault="000E2CB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E24DF"/>
    <w:multiLevelType w:val="multilevel"/>
    <w:tmpl w:val="755842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48C1CF6"/>
    <w:multiLevelType w:val="multilevel"/>
    <w:tmpl w:val="5DFAC90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0FF60E73"/>
    <w:multiLevelType w:val="multilevel"/>
    <w:tmpl w:val="27A412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C4955F1"/>
    <w:multiLevelType w:val="multilevel"/>
    <w:tmpl w:val="AB0695B6"/>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1E8D5076"/>
    <w:multiLevelType w:val="multilevel"/>
    <w:tmpl w:val="E42025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EED1D40"/>
    <w:multiLevelType w:val="hybridMultilevel"/>
    <w:tmpl w:val="7B40C1B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F831968"/>
    <w:multiLevelType w:val="multilevel"/>
    <w:tmpl w:val="AA1A34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7791987"/>
    <w:multiLevelType w:val="multilevel"/>
    <w:tmpl w:val="2E0A7A9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14D6DB7"/>
    <w:multiLevelType w:val="multilevel"/>
    <w:tmpl w:val="844491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9847150"/>
    <w:multiLevelType w:val="multilevel"/>
    <w:tmpl w:val="9E800EDC"/>
    <w:lvl w:ilvl="0">
      <w:start w:val="1"/>
      <w:numFmt w:val="decimal"/>
      <w:lvlText w:val="%1."/>
      <w:lvlJc w:val="left"/>
      <w:pPr>
        <w:ind w:left="1080" w:hanging="360"/>
      </w:pPr>
      <w:rPr>
        <w:i w:val="0"/>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D5B3BCF"/>
    <w:multiLevelType w:val="multilevel"/>
    <w:tmpl w:val="603C4C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61B94C60"/>
    <w:multiLevelType w:val="multilevel"/>
    <w:tmpl w:val="65861B08"/>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62535CE8"/>
    <w:multiLevelType w:val="multilevel"/>
    <w:tmpl w:val="8EF263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F3E3482"/>
    <w:multiLevelType w:val="multilevel"/>
    <w:tmpl w:val="2D009E64"/>
    <w:lvl w:ilvl="0">
      <w:start w:val="1"/>
      <w:numFmt w:val="decimal"/>
      <w:lvlText w:val="%1."/>
      <w:lvlJc w:val="left"/>
      <w:pPr>
        <w:ind w:left="108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198661167">
    <w:abstractNumId w:val="12"/>
  </w:num>
  <w:num w:numId="2" w16cid:durableId="830216545">
    <w:abstractNumId w:val="13"/>
  </w:num>
  <w:num w:numId="3" w16cid:durableId="970475877">
    <w:abstractNumId w:val="7"/>
  </w:num>
  <w:num w:numId="4" w16cid:durableId="592006514">
    <w:abstractNumId w:val="2"/>
  </w:num>
  <w:num w:numId="5" w16cid:durableId="2092658225">
    <w:abstractNumId w:val="6"/>
  </w:num>
  <w:num w:numId="6" w16cid:durableId="512650662">
    <w:abstractNumId w:val="10"/>
  </w:num>
  <w:num w:numId="7" w16cid:durableId="621228784">
    <w:abstractNumId w:val="1"/>
  </w:num>
  <w:num w:numId="8" w16cid:durableId="782267713">
    <w:abstractNumId w:val="3"/>
  </w:num>
  <w:num w:numId="9" w16cid:durableId="406924862">
    <w:abstractNumId w:val="11"/>
  </w:num>
  <w:num w:numId="10" w16cid:durableId="15928887">
    <w:abstractNumId w:val="9"/>
  </w:num>
  <w:num w:numId="11" w16cid:durableId="1209683894">
    <w:abstractNumId w:val="0"/>
  </w:num>
  <w:num w:numId="12" w16cid:durableId="238753168">
    <w:abstractNumId w:val="4"/>
  </w:num>
  <w:num w:numId="13" w16cid:durableId="1000619327">
    <w:abstractNumId w:val="8"/>
  </w:num>
  <w:num w:numId="14" w16cid:durableId="17565625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9"/>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58F9"/>
    <w:rsid w:val="000E2CBB"/>
    <w:rsid w:val="00106BCD"/>
    <w:rsid w:val="001741D4"/>
    <w:rsid w:val="001A5DD0"/>
    <w:rsid w:val="001F6756"/>
    <w:rsid w:val="002823BE"/>
    <w:rsid w:val="002A1C59"/>
    <w:rsid w:val="002D7295"/>
    <w:rsid w:val="00406F2B"/>
    <w:rsid w:val="004332F5"/>
    <w:rsid w:val="00433873"/>
    <w:rsid w:val="004D0428"/>
    <w:rsid w:val="005B08B0"/>
    <w:rsid w:val="005B2424"/>
    <w:rsid w:val="005E570B"/>
    <w:rsid w:val="00611A5C"/>
    <w:rsid w:val="00683DE1"/>
    <w:rsid w:val="00686AE6"/>
    <w:rsid w:val="00752611"/>
    <w:rsid w:val="008B17E8"/>
    <w:rsid w:val="008C37E3"/>
    <w:rsid w:val="00943A3D"/>
    <w:rsid w:val="00990DED"/>
    <w:rsid w:val="00A7468B"/>
    <w:rsid w:val="00B502D3"/>
    <w:rsid w:val="00C958F9"/>
    <w:rsid w:val="00D131AF"/>
    <w:rsid w:val="00D357CF"/>
    <w:rsid w:val="00DC635A"/>
    <w:rsid w:val="00E0435A"/>
    <w:rsid w:val="00E051D1"/>
    <w:rsid w:val="00E25A2C"/>
    <w:rsid w:val="00E704E5"/>
    <w:rsid w:val="00EE0509"/>
    <w:rsid w:val="00EF0FEE"/>
    <w:rsid w:val="00FA3B4C"/>
    <w:rsid w:val="00FB52DD"/>
    <w:rsid w:val="00FB6FC1"/>
    <w:rsid w:val="00FC16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7F8E7"/>
  <w15:docId w15:val="{34598896-A326-4B63-82DC-A5172DF15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GB"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092FA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92FA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92FA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092FA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92FA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92FA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92FA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92FA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92FA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92FA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92FA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92FAE"/>
    <w:rPr>
      <w:rFonts w:eastAsiaTheme="majorEastAsia" w:cstheme="majorBidi"/>
      <w:color w:val="272727" w:themeColor="text1" w:themeTint="D8"/>
    </w:rPr>
  </w:style>
  <w:style w:type="character" w:customStyle="1" w:styleId="TitleChar">
    <w:name w:val="Title Char"/>
    <w:basedOn w:val="DefaultParagraphFont"/>
    <w:link w:val="Title"/>
    <w:uiPriority w:val="10"/>
    <w:rsid w:val="00092FAE"/>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092FA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92FAE"/>
    <w:pPr>
      <w:spacing w:before="160"/>
      <w:jc w:val="center"/>
    </w:pPr>
    <w:rPr>
      <w:i/>
      <w:iCs/>
      <w:color w:val="404040" w:themeColor="text1" w:themeTint="BF"/>
    </w:rPr>
  </w:style>
  <w:style w:type="character" w:customStyle="1" w:styleId="QuoteChar">
    <w:name w:val="Quote Char"/>
    <w:basedOn w:val="DefaultParagraphFont"/>
    <w:link w:val="Quote"/>
    <w:uiPriority w:val="29"/>
    <w:rsid w:val="00092FAE"/>
    <w:rPr>
      <w:i/>
      <w:iCs/>
      <w:color w:val="404040" w:themeColor="text1" w:themeTint="BF"/>
    </w:rPr>
  </w:style>
  <w:style w:type="paragraph" w:styleId="ListParagraph">
    <w:name w:val="List Paragraph"/>
    <w:basedOn w:val="Normal"/>
    <w:uiPriority w:val="34"/>
    <w:qFormat/>
    <w:rsid w:val="00092FAE"/>
    <w:pPr>
      <w:ind w:left="720"/>
      <w:contextualSpacing/>
    </w:pPr>
  </w:style>
  <w:style w:type="character" w:styleId="IntenseEmphasis">
    <w:name w:val="Intense Emphasis"/>
    <w:basedOn w:val="DefaultParagraphFont"/>
    <w:uiPriority w:val="21"/>
    <w:qFormat/>
    <w:rsid w:val="00092FAE"/>
    <w:rPr>
      <w:i/>
      <w:iCs/>
      <w:color w:val="0F4761" w:themeColor="accent1" w:themeShade="BF"/>
    </w:rPr>
  </w:style>
  <w:style w:type="paragraph" w:styleId="IntenseQuote">
    <w:name w:val="Intense Quote"/>
    <w:basedOn w:val="Normal"/>
    <w:next w:val="Normal"/>
    <w:link w:val="IntenseQuoteChar"/>
    <w:uiPriority w:val="30"/>
    <w:qFormat/>
    <w:rsid w:val="00092FA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92FAE"/>
    <w:rPr>
      <w:i/>
      <w:iCs/>
      <w:color w:val="0F4761" w:themeColor="accent1" w:themeShade="BF"/>
    </w:rPr>
  </w:style>
  <w:style w:type="character" w:styleId="IntenseReference">
    <w:name w:val="Intense Reference"/>
    <w:basedOn w:val="DefaultParagraphFont"/>
    <w:uiPriority w:val="32"/>
    <w:qFormat/>
    <w:rsid w:val="00092FAE"/>
    <w:rPr>
      <w:b/>
      <w:bCs/>
      <w:smallCaps/>
      <w:color w:val="0F4761" w:themeColor="accent1" w:themeShade="BF"/>
      <w:spacing w:val="5"/>
    </w:rPr>
  </w:style>
  <w:style w:type="table" w:styleId="GridTable1Light">
    <w:name w:val="Grid Table 1 Light"/>
    <w:basedOn w:val="TableNormal"/>
    <w:uiPriority w:val="46"/>
    <w:rsid w:val="0022012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FootnoteText">
    <w:name w:val="footnote text"/>
    <w:basedOn w:val="Normal"/>
    <w:link w:val="FootnoteTextChar"/>
    <w:uiPriority w:val="99"/>
    <w:semiHidden/>
    <w:unhideWhenUsed/>
    <w:rsid w:val="0022012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2012C"/>
    <w:rPr>
      <w:sz w:val="20"/>
      <w:szCs w:val="20"/>
    </w:rPr>
  </w:style>
  <w:style w:type="character" w:styleId="FootnoteReference">
    <w:name w:val="footnote reference"/>
    <w:basedOn w:val="DefaultParagraphFont"/>
    <w:uiPriority w:val="99"/>
    <w:semiHidden/>
    <w:unhideWhenUsed/>
    <w:rsid w:val="0022012C"/>
    <w:rPr>
      <w:vertAlign w:val="superscript"/>
    </w:rPr>
  </w:style>
  <w:style w:type="character" w:styleId="CommentReference">
    <w:name w:val="annotation reference"/>
    <w:basedOn w:val="DefaultParagraphFont"/>
    <w:uiPriority w:val="99"/>
    <w:semiHidden/>
    <w:unhideWhenUsed/>
    <w:rsid w:val="00B05403"/>
    <w:rPr>
      <w:sz w:val="16"/>
      <w:szCs w:val="16"/>
    </w:rPr>
  </w:style>
  <w:style w:type="paragraph" w:styleId="CommentText">
    <w:name w:val="annotation text"/>
    <w:basedOn w:val="Normal"/>
    <w:link w:val="CommentTextChar"/>
    <w:uiPriority w:val="99"/>
    <w:unhideWhenUsed/>
    <w:rsid w:val="00B05403"/>
    <w:pPr>
      <w:spacing w:after="0" w:line="240" w:lineRule="auto"/>
    </w:pPr>
    <w:rPr>
      <w:sz w:val="20"/>
      <w:szCs w:val="20"/>
    </w:rPr>
  </w:style>
  <w:style w:type="character" w:customStyle="1" w:styleId="CommentTextChar">
    <w:name w:val="Comment Text Char"/>
    <w:basedOn w:val="DefaultParagraphFont"/>
    <w:link w:val="CommentText"/>
    <w:uiPriority w:val="99"/>
    <w:rsid w:val="00B05403"/>
    <w:rPr>
      <w:sz w:val="20"/>
      <w:szCs w:val="20"/>
    </w:rPr>
  </w:style>
  <w:style w:type="character" w:styleId="Hyperlink">
    <w:name w:val="Hyperlink"/>
    <w:basedOn w:val="DefaultParagraphFont"/>
    <w:uiPriority w:val="99"/>
    <w:unhideWhenUsed/>
    <w:rsid w:val="00B05403"/>
    <w:rPr>
      <w:color w:val="467886" w:themeColor="hyperlink"/>
      <w:u w:val="single"/>
    </w:rPr>
  </w:style>
  <w:style w:type="paragraph" w:styleId="NormalWeb">
    <w:name w:val="Normal (Web)"/>
    <w:basedOn w:val="Normal"/>
    <w:uiPriority w:val="99"/>
    <w:unhideWhenUsed/>
    <w:rsid w:val="0045161B"/>
    <w:pPr>
      <w:spacing w:before="100" w:beforeAutospacing="1" w:after="100" w:afterAutospacing="1" w:line="240" w:lineRule="auto"/>
    </w:pPr>
    <w:rPr>
      <w:rFonts w:ascii="Times New Roman" w:eastAsia="Times New Roman" w:hAnsi="Times New Roman" w:cs="Times New Roman"/>
    </w:rPr>
  </w:style>
  <w:style w:type="character" w:styleId="UnresolvedMention">
    <w:name w:val="Unresolved Mention"/>
    <w:basedOn w:val="DefaultParagraphFont"/>
    <w:uiPriority w:val="99"/>
    <w:semiHidden/>
    <w:unhideWhenUsed/>
    <w:rsid w:val="00D36444"/>
    <w:rPr>
      <w:color w:val="605E5C"/>
      <w:shd w:val="clear" w:color="auto" w:fill="E1DFDD"/>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pPr>
      <w:spacing w:after="0" w:line="240" w:lineRule="auto"/>
    </w:pPr>
    <w:tblPr>
      <w:tblStyleRowBandSize w:val="1"/>
      <w:tblStyleColBandSize w:val="1"/>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table" w:customStyle="1" w:styleId="a0">
    <w:basedOn w:val="TableNormal"/>
    <w:pPr>
      <w:spacing w:after="0" w:line="240" w:lineRule="auto"/>
    </w:pPr>
    <w:tblPr>
      <w:tblStyleRowBandSize w:val="1"/>
      <w:tblStyleColBandSize w:val="1"/>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table" w:customStyle="1" w:styleId="a1">
    <w:basedOn w:val="TableNormal"/>
    <w:pPr>
      <w:spacing w:after="0" w:line="240" w:lineRule="auto"/>
    </w:pPr>
    <w:tblPr>
      <w:tblStyleRowBandSize w:val="1"/>
      <w:tblStyleColBandSize w:val="1"/>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table" w:customStyle="1" w:styleId="a2">
    <w:basedOn w:val="TableNormal"/>
    <w:pPr>
      <w:spacing w:after="0" w:line="240" w:lineRule="auto"/>
    </w:pPr>
    <w:tblPr>
      <w:tblStyleRowBandSize w:val="1"/>
      <w:tblStyleColBandSize w:val="1"/>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table" w:customStyle="1" w:styleId="a3">
    <w:basedOn w:val="TableNormal"/>
    <w:pPr>
      <w:spacing w:after="0" w:line="240" w:lineRule="auto"/>
    </w:pPr>
    <w:tblPr>
      <w:tblStyleRowBandSize w:val="1"/>
      <w:tblStyleColBandSize w:val="1"/>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table" w:customStyle="1" w:styleId="a4">
    <w:basedOn w:val="TableNormal"/>
    <w:pPr>
      <w:spacing w:after="0" w:line="240" w:lineRule="auto"/>
    </w:pPr>
    <w:tblPr>
      <w:tblStyleRowBandSize w:val="1"/>
      <w:tblStyleColBandSize w:val="1"/>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table" w:customStyle="1" w:styleId="a5">
    <w:basedOn w:val="TableNormal"/>
    <w:pPr>
      <w:spacing w:after="0" w:line="240" w:lineRule="auto"/>
    </w:pPr>
    <w:tblPr>
      <w:tblStyleRowBandSize w:val="1"/>
      <w:tblStyleColBandSize w:val="1"/>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table" w:customStyle="1" w:styleId="a6">
    <w:basedOn w:val="TableNormal"/>
    <w:pPr>
      <w:spacing w:after="0" w:line="240" w:lineRule="auto"/>
    </w:pPr>
    <w:tblPr>
      <w:tblStyleRowBandSize w:val="1"/>
      <w:tblStyleColBandSize w:val="1"/>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table" w:customStyle="1" w:styleId="a7">
    <w:basedOn w:val="TableNormal"/>
    <w:pPr>
      <w:spacing w:after="0" w:line="240" w:lineRule="auto"/>
    </w:pPr>
    <w:tblPr>
      <w:tblStyleRowBandSize w:val="1"/>
      <w:tblStyleColBandSize w:val="1"/>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table" w:customStyle="1" w:styleId="a8">
    <w:basedOn w:val="TableNormal"/>
    <w:pPr>
      <w:spacing w:after="0" w:line="240" w:lineRule="auto"/>
    </w:pPr>
    <w:tblPr>
      <w:tblStyleRowBandSize w:val="1"/>
      <w:tblStyleColBandSize w:val="1"/>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table" w:customStyle="1" w:styleId="a9">
    <w:basedOn w:val="TableNormal"/>
    <w:pPr>
      <w:spacing w:after="0" w:line="240" w:lineRule="auto"/>
    </w:pPr>
    <w:tblPr>
      <w:tblStyleRowBandSize w:val="1"/>
      <w:tblStyleColBandSize w:val="1"/>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table" w:customStyle="1" w:styleId="aa">
    <w:basedOn w:val="TableNormal"/>
    <w:pPr>
      <w:spacing w:after="0" w:line="240" w:lineRule="auto"/>
    </w:pPr>
    <w:tblPr>
      <w:tblStyleRowBandSize w:val="1"/>
      <w:tblStyleColBandSize w:val="1"/>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paragraph" w:styleId="CommentSubject">
    <w:name w:val="annotation subject"/>
    <w:basedOn w:val="CommentText"/>
    <w:next w:val="CommentText"/>
    <w:link w:val="CommentSubjectChar"/>
    <w:uiPriority w:val="99"/>
    <w:semiHidden/>
    <w:unhideWhenUsed/>
    <w:rsid w:val="004D0428"/>
    <w:pPr>
      <w:spacing w:after="160"/>
    </w:pPr>
    <w:rPr>
      <w:b/>
      <w:bCs/>
    </w:rPr>
  </w:style>
  <w:style w:type="character" w:customStyle="1" w:styleId="CommentSubjectChar">
    <w:name w:val="Comment Subject Char"/>
    <w:basedOn w:val="CommentTextChar"/>
    <w:link w:val="CommentSubject"/>
    <w:uiPriority w:val="99"/>
    <w:semiHidden/>
    <w:rsid w:val="004D042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pravniportal.com/novi-zakon-o-informacionoj-bezbednosti/" TargetMode="External"/><Relationship Id="rId13" Type="http://schemas.openxmlformats.org/officeDocument/2006/relationships/hyperlink" Target="https://www.mit.gov.rs/tekst/sr/2362/obavestenje-o-sprovodjenju-javne-rasprave-o-nacrtu-zakona-o-informacionoj-bezbednosti.php" TargetMode="External"/><Relationship Id="rId18" Type="http://schemas.openxmlformats.org/officeDocument/2006/relationships/hyperlink" Target="https://www.srbija.gov.rs/vest/890092/usvojen-predlog-zakona-o-informacionoj-bezbednosti.php?utm"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www.mit.gov.rs/extfile/sr/2708/Izvestaj%20o%20javnoj%20raspravi%20Nacrt%20ZIB%20%282%29.pdf" TargetMode="External"/><Relationship Id="rId7" Type="http://schemas.openxmlformats.org/officeDocument/2006/relationships/endnotes" Target="endnotes.xml"/><Relationship Id="rId12" Type="http://schemas.openxmlformats.org/officeDocument/2006/relationships/hyperlink" Target="https://mit.gov.rs/vest/sr/6909/javna-rasprava-o-nacrtu-zakona-o-informacionoj-bezbednosti.php" TargetMode="External"/><Relationship Id="rId17" Type="http://schemas.openxmlformats.org/officeDocument/2006/relationships/hyperlink" Target="https://www.mit.gov.rs/vest/14844/vlada-usvojila-predlog-zakona-o-informacionoj-bezbednosti.php" TargetMode="External"/><Relationship Id="rId25" Type="http://schemas.openxmlformats.org/officeDocument/2006/relationships/hyperlink" Target="http://www.parlament.gov.rs/upload/archive/files/cir/pdf/predlozi_zakona/14_saziv/1223-25.pdf" TargetMode="External"/><Relationship Id="rId2" Type="http://schemas.openxmlformats.org/officeDocument/2006/relationships/numbering" Target="numbering.xml"/><Relationship Id="rId16" Type="http://schemas.openxmlformats.org/officeDocument/2006/relationships/hyperlink" Target="https://www.mit.gov.rs/tekst/sr/2362/obavestenje-o-sprovodjenju-javne-rasprave-o-nacrtu-zakona-o-informacionoj-bezbednosti.php" TargetMode="External"/><Relationship Id="rId20" Type="http://schemas.openxmlformats.org/officeDocument/2006/relationships/hyperlink" Target="https://www.paragraf.rs/propisi/zakon-o-informacionoj-bezbednosti-2025.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mit.gov.rs/tekst/sr/2362/obavestenje-o-sprovodjenju-javne-rasprave-o-nacrtu-zakona-o-informacionoj-bezbednosti.php" TargetMode="External"/><Relationship Id="rId24" Type="http://schemas.openxmlformats.org/officeDocument/2006/relationships/hyperlink" Target="https://pravno-informacioni-sistem.rs/eli/rep/sgrs/skupstina/zakon/2025/91/5/reg" TargetMode="External"/><Relationship Id="rId5" Type="http://schemas.openxmlformats.org/officeDocument/2006/relationships/webSettings" Target="webSettings.xml"/><Relationship Id="rId15" Type="http://schemas.openxmlformats.org/officeDocument/2006/relationships/hyperlink" Target="https://www.mit.gov.rs/tekst/sr/2362/obavestenje-o-sprovodjenju-javne-rasprave-o-nacrtu-zakona-o-informacionoj-bezbednosti.php" TargetMode="External"/><Relationship Id="rId23" Type="http://schemas.openxmlformats.org/officeDocument/2006/relationships/hyperlink" Target="https://www.mit.gov.rs/tekst/sr/2362/obavestenje-o-sprovodjenju-javne-rasprave-o-nacrtu-zakona-o-informacionoj-bezbednosti.php?utm_source=chatgpt.com" TargetMode="External"/><Relationship Id="rId10" Type="http://schemas.openxmlformats.org/officeDocument/2006/relationships/hyperlink" Target="https://naled.rs/en/news-what-is-new-in-the-amendments-to-the-law-on-information-security-8194" TargetMode="External"/><Relationship Id="rId19" Type="http://schemas.openxmlformats.org/officeDocument/2006/relationships/hyperlink" Target="https://n1info.rs/vesti/skupstina-usvojila-izmene-i-dopune-zakona-o-izvrsenju-i-obezbedjenju/?utm" TargetMode="External"/><Relationship Id="rId4" Type="http://schemas.openxmlformats.org/officeDocument/2006/relationships/settings" Target="settings.xml"/><Relationship Id="rId9" Type="http://schemas.openxmlformats.org/officeDocument/2006/relationships/hyperlink" Target="https://www.rts.rs/lat/vesti/drustvo/5176214/formirana-radna-grupa-za-izradu-izmena-zakona-o-informacionoj-bezbednosti.html" TargetMode="External"/><Relationship Id="rId14" Type="http://schemas.openxmlformats.org/officeDocument/2006/relationships/hyperlink" Target="https://www.mit.gov.rs/tekst/sr/2701/izvestaj-sa-javne-rasprave-povodom-nacrta-zakona-o-informacionoj-bezbednosti.php" TargetMode="External"/><Relationship Id="rId22" Type="http://schemas.openxmlformats.org/officeDocument/2006/relationships/hyperlink" Target="https://mit.gov.rs/extfile/sr/6891/Obrazlozenje%20ZIB.pdf"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vzBeEdAvBQtFy9H5ba9WYj7ptQ==">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5</Pages>
  <Words>2222</Words>
  <Characters>13405</Characters>
  <Application>Microsoft Office Word</Application>
  <DocSecurity>0</DocSecurity>
  <Lines>285</Lines>
  <Paragraphs>92</Paragraphs>
  <ScaleCrop>false</ScaleCrop>
  <Company/>
  <LinksUpToDate>false</LinksUpToDate>
  <CharactersWithSpaces>15535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Kristina Obrenović</dc:creator>
  <cp:lastModifiedBy>Milena Mihajlovic Denic</cp:lastModifiedBy>
  <cp:revision>30</cp:revision>
  <dcterms:created xsi:type="dcterms:W3CDTF">2026-02-23T13:29:00Z</dcterms:created>
  <dcterms:modified xsi:type="dcterms:W3CDTF">2026-04-24T18:42:00Z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32c71713-9fe1-4d72-84b5-9d8c7d67633e</vt:lpwstr>
  </property>
  <property fmtid="{D5CDD505-2E9C-101B-9397-08002B2CF9AE}" pid="3" name="ContentTypeId">
    <vt:lpwstr>0x0101001D9AF5F47206534FA9317AF0C7B0A125</vt:lpwstr>
  </property>
  <property fmtid="{D5CDD505-2E9C-101B-9397-08002B2CF9AE}" pid="4" name="MediaServiceImageTags">
    <vt:lpwstr/>
  </property>
</Properties>
</file>